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9DFCA9" w14:textId="77777777" w:rsidR="00C66ABE" w:rsidRDefault="00C66ABE" w:rsidP="00C66ABE">
      <w:pPr>
        <w:spacing w:after="0" w:line="240" w:lineRule="auto"/>
        <w:rPr>
          <w:rFonts w:ascii="Arial" w:hAnsi="Arial" w:cs="Arial"/>
          <w:b/>
          <w:bCs/>
        </w:rPr>
      </w:pPr>
      <w:r w:rsidRPr="000B1EA5">
        <w:rPr>
          <w:rFonts w:ascii="Arial" w:hAnsi="Arial" w:cs="Arial"/>
          <w:noProof/>
        </w:rPr>
        <w:drawing>
          <wp:anchor distT="0" distB="0" distL="114300" distR="114300" simplePos="0" relativeHeight="251659264" behindDoc="0" locked="0" layoutInCell="1" allowOverlap="1" wp14:anchorId="532773A5" wp14:editId="2B8C58AF">
            <wp:simplePos x="0" y="0"/>
            <wp:positionH relativeFrom="column">
              <wp:posOffset>-28232</wp:posOffset>
            </wp:positionH>
            <wp:positionV relativeFrom="paragraph">
              <wp:posOffset>-339725</wp:posOffset>
            </wp:positionV>
            <wp:extent cx="2364377" cy="423020"/>
            <wp:effectExtent l="0" t="0" r="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A-Left-EPS.eps"/>
                    <pic:cNvPicPr/>
                  </pic:nvPicPr>
                  <pic:blipFill rotWithShape="1">
                    <a:blip r:embed="rId5" cstate="hqprint">
                      <a:extLst>
                        <a:ext uri="{28A0092B-C50C-407E-A947-70E740481C1C}">
                          <a14:useLocalDpi xmlns:a14="http://schemas.microsoft.com/office/drawing/2010/main"/>
                        </a:ext>
                      </a:extLst>
                    </a:blip>
                    <a:srcRect r="3789" b="85779"/>
                    <a:stretch/>
                  </pic:blipFill>
                  <pic:spPr bwMode="auto">
                    <a:xfrm>
                      <a:off x="0" y="0"/>
                      <a:ext cx="2364377" cy="4230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0F2C692" w14:textId="77777777" w:rsidR="00C66ABE" w:rsidRPr="000B1EA5" w:rsidRDefault="00C66ABE" w:rsidP="00C66ABE">
      <w:pPr>
        <w:spacing w:after="0" w:line="240" w:lineRule="auto"/>
        <w:rPr>
          <w:rFonts w:ascii="Arial" w:hAnsi="Arial" w:cs="Arial"/>
          <w:b/>
          <w:bCs/>
        </w:rPr>
      </w:pPr>
      <w:r w:rsidRPr="000B1EA5">
        <w:rPr>
          <w:rFonts w:ascii="Arial" w:hAnsi="Arial" w:cs="Arial"/>
        </w:rPr>
        <w:t>Media contact: Mary Hightower</w:t>
      </w:r>
      <w:r w:rsidRPr="000B1EA5">
        <w:rPr>
          <w:rFonts w:ascii="Arial" w:hAnsi="Arial" w:cs="Arial"/>
        </w:rPr>
        <w:tab/>
      </w:r>
      <w:hyperlink r:id="rId6" w:history="1">
        <w:r w:rsidRPr="000B1EA5">
          <w:rPr>
            <w:rStyle w:val="Hyperlink"/>
            <w:rFonts w:ascii="Arial" w:hAnsi="Arial" w:cs="Arial"/>
          </w:rPr>
          <w:t>mhightower@uada.edu</w:t>
        </w:r>
      </w:hyperlink>
      <w:r w:rsidRPr="000B1EA5">
        <w:rPr>
          <w:rFonts w:ascii="Arial" w:hAnsi="Arial" w:cs="Arial"/>
        </w:rPr>
        <w:tab/>
      </w:r>
      <w:r w:rsidRPr="000B1EA5">
        <w:rPr>
          <w:rFonts w:ascii="Arial" w:hAnsi="Arial" w:cs="Arial"/>
        </w:rPr>
        <w:tab/>
        <w:t>501-671-2006</w:t>
      </w:r>
    </w:p>
    <w:p w14:paraId="3CB8AD73" w14:textId="38D623D5" w:rsidR="00C66ABE" w:rsidRPr="000B1EA5" w:rsidRDefault="00C66ABE" w:rsidP="00C66ABE">
      <w:pPr>
        <w:spacing w:after="0" w:line="240" w:lineRule="auto"/>
        <w:rPr>
          <w:rFonts w:ascii="Arial" w:hAnsi="Arial" w:cs="Arial"/>
        </w:rPr>
      </w:pPr>
      <w:r>
        <w:rPr>
          <w:rFonts w:ascii="Arial" w:hAnsi="Arial" w:cs="Arial"/>
        </w:rPr>
        <w:t>May</w:t>
      </w:r>
      <w:r w:rsidRPr="000B1EA5">
        <w:rPr>
          <w:rFonts w:ascii="Arial" w:hAnsi="Arial" w:cs="Arial"/>
        </w:rPr>
        <w:t xml:space="preserve"> </w:t>
      </w:r>
      <w:r w:rsidR="00DF7636">
        <w:rPr>
          <w:rFonts w:ascii="Arial" w:hAnsi="Arial" w:cs="Arial"/>
        </w:rPr>
        <w:t>28</w:t>
      </w:r>
      <w:r w:rsidRPr="000B1EA5">
        <w:rPr>
          <w:rFonts w:ascii="Arial" w:hAnsi="Arial" w:cs="Arial"/>
        </w:rPr>
        <w:t>, 2021</w:t>
      </w:r>
    </w:p>
    <w:p w14:paraId="13E2E986" w14:textId="77777777" w:rsidR="00C66ABE" w:rsidRDefault="00C66ABE" w:rsidP="00C66ABE">
      <w:pPr>
        <w:spacing w:after="0" w:line="240" w:lineRule="auto"/>
        <w:rPr>
          <w:rFonts w:ascii="Arial" w:hAnsi="Arial" w:cs="Arial"/>
          <w:b/>
        </w:rPr>
      </w:pPr>
    </w:p>
    <w:p w14:paraId="03257DDE" w14:textId="5835D509" w:rsidR="00C66ABE" w:rsidRPr="000B1EA5" w:rsidRDefault="001E67F0" w:rsidP="00C66ABE">
      <w:pPr>
        <w:spacing w:after="0" w:line="240" w:lineRule="auto"/>
        <w:rPr>
          <w:rFonts w:ascii="Arial" w:hAnsi="Arial" w:cs="Arial"/>
          <w:b/>
        </w:rPr>
      </w:pPr>
      <w:r>
        <w:rPr>
          <w:rFonts w:ascii="Arial" w:hAnsi="Arial" w:cs="Arial"/>
          <w:b/>
        </w:rPr>
        <w:t xml:space="preserve">Keys to solar: Net metering, meter </w:t>
      </w:r>
      <w:r w:rsidR="007146C5">
        <w:rPr>
          <w:rFonts w:ascii="Arial" w:hAnsi="Arial" w:cs="Arial"/>
          <w:b/>
        </w:rPr>
        <w:t>aggregation</w:t>
      </w:r>
      <w:r>
        <w:rPr>
          <w:rFonts w:ascii="Arial" w:hAnsi="Arial" w:cs="Arial"/>
          <w:b/>
        </w:rPr>
        <w:t xml:space="preserve">, financial incentives </w:t>
      </w:r>
    </w:p>
    <w:p w14:paraId="505A6C5D" w14:textId="77777777" w:rsidR="00C66ABE" w:rsidRDefault="00C66ABE" w:rsidP="00C66ABE">
      <w:pPr>
        <w:spacing w:after="0" w:line="240" w:lineRule="auto"/>
        <w:rPr>
          <w:rFonts w:ascii="Arial" w:hAnsi="Arial" w:cs="Arial"/>
          <w:b/>
        </w:rPr>
      </w:pPr>
    </w:p>
    <w:p w14:paraId="5370371B" w14:textId="7D127455" w:rsidR="00A0092F" w:rsidRDefault="00C66ABE" w:rsidP="00C66ABE">
      <w:pPr>
        <w:spacing w:after="0" w:line="240" w:lineRule="auto"/>
        <w:rPr>
          <w:rFonts w:ascii="Arial" w:hAnsi="Arial" w:cs="Arial"/>
          <w:bCs/>
        </w:rPr>
      </w:pPr>
      <w:r w:rsidRPr="000C3697">
        <w:rPr>
          <w:rFonts w:ascii="Arial" w:hAnsi="Arial" w:cs="Arial"/>
          <w:bCs/>
        </w:rPr>
        <w:t xml:space="preserve">By </w:t>
      </w:r>
      <w:r w:rsidR="00A0092F">
        <w:rPr>
          <w:rFonts w:ascii="Arial" w:hAnsi="Arial" w:cs="Arial"/>
          <w:bCs/>
        </w:rPr>
        <w:t>Mary Hightower</w:t>
      </w:r>
    </w:p>
    <w:p w14:paraId="5AA1919A" w14:textId="12FEEAEA" w:rsidR="00C66ABE" w:rsidRPr="000C3697" w:rsidRDefault="00C66ABE" w:rsidP="00C66ABE">
      <w:pPr>
        <w:spacing w:after="0" w:line="240" w:lineRule="auto"/>
        <w:rPr>
          <w:rFonts w:ascii="Arial" w:hAnsi="Arial" w:cs="Arial"/>
          <w:bCs/>
        </w:rPr>
      </w:pPr>
      <w:r w:rsidRPr="000C3697">
        <w:rPr>
          <w:rFonts w:ascii="Arial" w:hAnsi="Arial" w:cs="Arial"/>
          <w:bCs/>
        </w:rPr>
        <w:t xml:space="preserve">U of Arkansas System Division of Agriculture </w:t>
      </w:r>
    </w:p>
    <w:p w14:paraId="7CBCFCEE" w14:textId="5BB2C399" w:rsidR="001E67F0" w:rsidRDefault="001E67F0" w:rsidP="001E67F0">
      <w:pPr>
        <w:spacing w:after="0" w:line="240" w:lineRule="auto"/>
        <w:rPr>
          <w:rFonts w:ascii="Arial" w:hAnsi="Arial" w:cs="Arial"/>
          <w:b/>
        </w:rPr>
      </w:pPr>
    </w:p>
    <w:p w14:paraId="7406992C" w14:textId="7BF28849" w:rsidR="001E67F0" w:rsidRPr="001E67F0" w:rsidRDefault="001E67F0" w:rsidP="001E67F0">
      <w:pPr>
        <w:spacing w:after="0" w:line="240" w:lineRule="auto"/>
        <w:rPr>
          <w:rFonts w:ascii="Arial" w:hAnsi="Arial" w:cs="Arial"/>
          <w:bCs/>
        </w:rPr>
      </w:pPr>
      <w:r w:rsidRPr="001E67F0">
        <w:rPr>
          <w:rFonts w:ascii="Arial" w:hAnsi="Arial" w:cs="Arial"/>
          <w:bCs/>
        </w:rPr>
        <w:t>(423 words)</w:t>
      </w:r>
    </w:p>
    <w:p w14:paraId="226358E0" w14:textId="01672442" w:rsidR="001E67F0" w:rsidRPr="001E67F0" w:rsidRDefault="001E67F0" w:rsidP="001E67F0">
      <w:pPr>
        <w:spacing w:after="0" w:line="240" w:lineRule="auto"/>
        <w:rPr>
          <w:rFonts w:ascii="Arial" w:hAnsi="Arial" w:cs="Arial"/>
          <w:bCs/>
        </w:rPr>
      </w:pPr>
      <w:r w:rsidRPr="001E67F0">
        <w:rPr>
          <w:rFonts w:ascii="Arial" w:hAnsi="Arial" w:cs="Arial"/>
          <w:bCs/>
        </w:rPr>
        <w:t xml:space="preserve">(Newsrooms with </w:t>
      </w:r>
      <w:proofErr w:type="spellStart"/>
      <w:r w:rsidRPr="001E67F0">
        <w:rPr>
          <w:rFonts w:ascii="Arial" w:hAnsi="Arial" w:cs="Arial"/>
          <w:bCs/>
        </w:rPr>
        <w:t>mainbar</w:t>
      </w:r>
      <w:proofErr w:type="spellEnd"/>
      <w:r w:rsidRPr="001E67F0">
        <w:rPr>
          <w:rFonts w:ascii="Arial" w:hAnsi="Arial" w:cs="Arial"/>
          <w:bCs/>
        </w:rPr>
        <w:t>: 05-</w:t>
      </w:r>
      <w:r w:rsidR="00AC64CC">
        <w:rPr>
          <w:rFonts w:ascii="Arial" w:hAnsi="Arial" w:cs="Arial"/>
          <w:bCs/>
        </w:rPr>
        <w:t>28-</w:t>
      </w:r>
      <w:r w:rsidRPr="001E67F0">
        <w:rPr>
          <w:rFonts w:ascii="Arial" w:hAnsi="Arial" w:cs="Arial"/>
          <w:bCs/>
        </w:rPr>
        <w:t>2021-Ark-Solar-Benefits-Farm</w:t>
      </w:r>
      <w:r w:rsidR="00AC64CC">
        <w:rPr>
          <w:rFonts w:ascii="Arial" w:hAnsi="Arial" w:cs="Arial"/>
          <w:bCs/>
        </w:rPr>
        <w:t xml:space="preserve">, with art </w:t>
      </w:r>
      <w:hyperlink r:id="rId7" w:history="1">
        <w:r w:rsidR="00AC64CC" w:rsidRPr="005D7B63">
          <w:rPr>
            <w:rStyle w:val="Hyperlink"/>
            <w:rFonts w:ascii="Arial" w:hAnsi="Arial" w:cs="Arial"/>
          </w:rPr>
          <w:t>https://flic.kr/s/aHsmVRKzi9</w:t>
        </w:r>
      </w:hyperlink>
      <w:r w:rsidRPr="001E67F0">
        <w:rPr>
          <w:rFonts w:ascii="Arial" w:hAnsi="Arial" w:cs="Arial"/>
          <w:bCs/>
        </w:rPr>
        <w:t>)</w:t>
      </w:r>
    </w:p>
    <w:p w14:paraId="64828AED" w14:textId="37DD66A6" w:rsidR="001E67F0" w:rsidRPr="001E67F0" w:rsidRDefault="001E67F0" w:rsidP="001E67F0">
      <w:pPr>
        <w:spacing w:after="0" w:line="240" w:lineRule="auto"/>
        <w:rPr>
          <w:rFonts w:ascii="Arial" w:hAnsi="Arial" w:cs="Arial"/>
          <w:bCs/>
        </w:rPr>
      </w:pPr>
      <w:r>
        <w:rPr>
          <w:rFonts w:ascii="Arial" w:hAnsi="Arial" w:cs="Arial"/>
          <w:bCs/>
        </w:rPr>
        <w:t xml:space="preserve">FAYETTEVILLE, Ark. — A combination of policy and financial incentives have opened the door to solar for agriculture operations in Arkansas. These include: </w:t>
      </w:r>
    </w:p>
    <w:p w14:paraId="4C8CB8E5" w14:textId="77777777" w:rsidR="00C66ABE" w:rsidRDefault="00C66ABE" w:rsidP="00C66ABE">
      <w:pPr>
        <w:spacing w:after="0" w:line="240" w:lineRule="auto"/>
        <w:rPr>
          <w:rFonts w:ascii="Arial" w:hAnsi="Arial" w:cs="Arial"/>
          <w:b/>
        </w:rPr>
      </w:pPr>
    </w:p>
    <w:p w14:paraId="10213238" w14:textId="242C24CE" w:rsidR="00C66ABE" w:rsidRPr="000B1EA5" w:rsidRDefault="00C66ABE" w:rsidP="00C66ABE">
      <w:pPr>
        <w:spacing w:after="0" w:line="240" w:lineRule="auto"/>
        <w:rPr>
          <w:rFonts w:ascii="Arial" w:hAnsi="Arial" w:cs="Arial"/>
          <w:b/>
        </w:rPr>
      </w:pPr>
      <w:r w:rsidRPr="000B1EA5">
        <w:rPr>
          <w:rFonts w:ascii="Arial" w:hAnsi="Arial" w:cs="Arial"/>
          <w:b/>
        </w:rPr>
        <w:t>Net Metering</w:t>
      </w:r>
    </w:p>
    <w:p w14:paraId="64904BC8" w14:textId="693F97CD" w:rsidR="00C66ABE" w:rsidRDefault="00C66ABE" w:rsidP="00C66ABE">
      <w:pPr>
        <w:spacing w:after="0" w:line="240" w:lineRule="auto"/>
        <w:rPr>
          <w:rFonts w:ascii="Arial" w:hAnsi="Arial" w:cs="Arial"/>
        </w:rPr>
      </w:pPr>
      <w:r w:rsidRPr="000B1EA5">
        <w:rPr>
          <w:rFonts w:ascii="Arial" w:hAnsi="Arial" w:cs="Arial"/>
        </w:rPr>
        <w:t xml:space="preserve">Net metering is a metering and billing arrangement designed to ensure fair credit for the owner/customer of a distributed generation system for electricity exported to the grid. In general, electricity produced by grid-connected solar system may be used by the business or flow to the utility’s distributed system to other </w:t>
      </w:r>
      <w:r>
        <w:rPr>
          <w:rFonts w:ascii="Arial" w:hAnsi="Arial" w:cs="Arial"/>
        </w:rPr>
        <w:t>users</w:t>
      </w:r>
      <w:r w:rsidRPr="000B1EA5">
        <w:rPr>
          <w:rFonts w:ascii="Arial" w:hAnsi="Arial" w:cs="Arial"/>
        </w:rPr>
        <w:t>. With net-metering, the k</w:t>
      </w:r>
      <w:r>
        <w:rPr>
          <w:rFonts w:ascii="Arial" w:hAnsi="Arial" w:cs="Arial"/>
        </w:rPr>
        <w:t xml:space="preserve">ilowatt hours </w:t>
      </w:r>
      <w:r w:rsidRPr="000B1EA5">
        <w:rPr>
          <w:rFonts w:ascii="Arial" w:hAnsi="Arial" w:cs="Arial"/>
        </w:rPr>
        <w:t>produced by the customer and supplied to the grid offsets the kWh supplied to the customer in that month</w:t>
      </w:r>
      <w:r>
        <w:rPr>
          <w:rFonts w:ascii="Arial" w:hAnsi="Arial" w:cs="Arial"/>
        </w:rPr>
        <w:t>. For example, i</w:t>
      </w:r>
      <w:r w:rsidRPr="000B1EA5">
        <w:rPr>
          <w:rFonts w:ascii="Arial" w:hAnsi="Arial" w:cs="Arial"/>
        </w:rPr>
        <w:t>f the customer sends more kWh to the grid than used, the kWh charge is zero that month</w:t>
      </w:r>
      <w:r>
        <w:rPr>
          <w:rFonts w:ascii="Arial" w:hAnsi="Arial" w:cs="Arial"/>
        </w:rPr>
        <w:t xml:space="preserve">. </w:t>
      </w:r>
      <w:r w:rsidRPr="000B1EA5">
        <w:rPr>
          <w:rFonts w:ascii="Arial" w:hAnsi="Arial" w:cs="Arial"/>
        </w:rPr>
        <w:t>The</w:t>
      </w:r>
      <w:r w:rsidR="001E67F0">
        <w:rPr>
          <w:rFonts w:ascii="Arial" w:hAnsi="Arial" w:cs="Arial"/>
        </w:rPr>
        <w:t xml:space="preserve"> energy</w:t>
      </w:r>
      <w:r w:rsidRPr="000B1EA5">
        <w:rPr>
          <w:rFonts w:ascii="Arial" w:hAnsi="Arial" w:cs="Arial"/>
        </w:rPr>
        <w:t xml:space="preserve"> generated by the customer </w:t>
      </w:r>
      <w:r w:rsidR="007146C5" w:rsidRPr="000B1EA5">
        <w:rPr>
          <w:rFonts w:ascii="Arial" w:hAnsi="Arial" w:cs="Arial"/>
        </w:rPr>
        <w:t>more than</w:t>
      </w:r>
      <w:r w:rsidRPr="000B1EA5">
        <w:rPr>
          <w:rFonts w:ascii="Arial" w:hAnsi="Arial" w:cs="Arial"/>
        </w:rPr>
        <w:t xml:space="preserve"> the </w:t>
      </w:r>
      <w:r w:rsidR="001E67F0">
        <w:rPr>
          <w:rFonts w:ascii="Arial" w:hAnsi="Arial" w:cs="Arial"/>
        </w:rPr>
        <w:t xml:space="preserve">electricity </w:t>
      </w:r>
      <w:r w:rsidRPr="000B1EA5">
        <w:rPr>
          <w:rFonts w:ascii="Arial" w:hAnsi="Arial" w:cs="Arial"/>
        </w:rPr>
        <w:t>used is accumulated and credited to the account associated with the meter physically attached to the net metering facility in the next applicable billing period. The new net-metering rules allow existing agreements between net-metering customers and utilities to remain in place, or grandfathered, until 2040.</w:t>
      </w:r>
    </w:p>
    <w:p w14:paraId="0EB835C4" w14:textId="77777777" w:rsidR="00C66ABE" w:rsidRPr="000B1EA5" w:rsidRDefault="00C66ABE" w:rsidP="00C66ABE">
      <w:pPr>
        <w:spacing w:after="0" w:line="240" w:lineRule="auto"/>
        <w:rPr>
          <w:rFonts w:ascii="Arial" w:hAnsi="Arial" w:cs="Arial"/>
        </w:rPr>
      </w:pPr>
    </w:p>
    <w:p w14:paraId="4BF34837" w14:textId="77777777" w:rsidR="00C66ABE" w:rsidRPr="000B1EA5" w:rsidRDefault="00C66ABE" w:rsidP="00C66ABE">
      <w:pPr>
        <w:spacing w:after="0" w:line="240" w:lineRule="auto"/>
        <w:rPr>
          <w:rFonts w:ascii="Arial" w:hAnsi="Arial" w:cs="Arial"/>
          <w:b/>
        </w:rPr>
      </w:pPr>
      <w:r w:rsidRPr="000B1EA5">
        <w:rPr>
          <w:rFonts w:ascii="Arial" w:hAnsi="Arial" w:cs="Arial"/>
          <w:b/>
        </w:rPr>
        <w:t>Meter aggregation</w:t>
      </w:r>
    </w:p>
    <w:p w14:paraId="45E9B937" w14:textId="736000FE" w:rsidR="00E952AC" w:rsidRDefault="00C66ABE" w:rsidP="001E67F0">
      <w:pPr>
        <w:spacing w:after="0" w:line="240" w:lineRule="auto"/>
        <w:rPr>
          <w:rFonts w:ascii="Arial" w:hAnsi="Arial" w:cs="Arial"/>
        </w:rPr>
      </w:pPr>
      <w:r w:rsidRPr="000B1EA5">
        <w:rPr>
          <w:rFonts w:ascii="Arial" w:hAnsi="Arial" w:cs="Arial"/>
        </w:rPr>
        <w:t>Meter aggregation expands options for customers</w:t>
      </w:r>
      <w:r>
        <w:rPr>
          <w:rFonts w:ascii="Arial" w:hAnsi="Arial" w:cs="Arial"/>
        </w:rPr>
        <w:t xml:space="preserve"> that ha</w:t>
      </w:r>
      <w:r w:rsidRPr="000B1EA5">
        <w:rPr>
          <w:rFonts w:ascii="Arial" w:hAnsi="Arial" w:cs="Arial"/>
        </w:rPr>
        <w:t>ve multiple electric meters</w:t>
      </w:r>
      <w:r>
        <w:rPr>
          <w:rFonts w:ascii="Arial" w:hAnsi="Arial" w:cs="Arial"/>
        </w:rPr>
        <w:t xml:space="preserve"> -- which is </w:t>
      </w:r>
      <w:r w:rsidRPr="000B1EA5">
        <w:rPr>
          <w:rFonts w:ascii="Arial" w:hAnsi="Arial" w:cs="Arial"/>
        </w:rPr>
        <w:t xml:space="preserve">common in farming. Specifically, meter aggregation allows for a single generating system to be used to offset electricity use on multiple meters, without necessarily requiring a physical connection between the system and those meters. While meter aggregation has the potential to benefit many different types of customers </w:t>
      </w:r>
      <w:r>
        <w:rPr>
          <w:rFonts w:ascii="Arial" w:hAnsi="Arial" w:cs="Arial"/>
        </w:rPr>
        <w:t>such as c</w:t>
      </w:r>
      <w:r w:rsidRPr="000B1EA5">
        <w:rPr>
          <w:rFonts w:ascii="Arial" w:hAnsi="Arial" w:cs="Arial"/>
        </w:rPr>
        <w:t>ommercial real estate, franchised businesses, and urban businesses without nearby land, it can be particularly beneficial for farms with multiple meters and/or electric accounts that are geographically dispersed. This potentially removes at least some of the obstacles associated with site limitations, allows customers to benefit from economies of scale in system sizing, and allows the use of underutilized land in system siting.</w:t>
      </w:r>
    </w:p>
    <w:p w14:paraId="45131413" w14:textId="77777777" w:rsidR="001E67F0" w:rsidRPr="001E67F0" w:rsidRDefault="001E67F0" w:rsidP="001E67F0">
      <w:pPr>
        <w:spacing w:after="0" w:line="240" w:lineRule="auto"/>
        <w:rPr>
          <w:rFonts w:ascii="Arial" w:hAnsi="Arial" w:cs="Arial"/>
        </w:rPr>
      </w:pPr>
    </w:p>
    <w:p w14:paraId="2A0768AA" w14:textId="01AAFE9F" w:rsidR="001E67F0" w:rsidRPr="001E67F0" w:rsidRDefault="001E67F0" w:rsidP="001E67F0">
      <w:pPr>
        <w:spacing w:after="0" w:line="240" w:lineRule="auto"/>
        <w:rPr>
          <w:rFonts w:ascii="Arial" w:hAnsi="Arial" w:cs="Arial"/>
          <w:b/>
          <w:bCs/>
        </w:rPr>
      </w:pPr>
      <w:r w:rsidRPr="001E67F0">
        <w:rPr>
          <w:rFonts w:ascii="Arial" w:hAnsi="Arial" w:cs="Arial"/>
          <w:b/>
          <w:bCs/>
        </w:rPr>
        <w:t xml:space="preserve">Financial incentives </w:t>
      </w:r>
    </w:p>
    <w:p w14:paraId="59D91B17" w14:textId="391B30E9" w:rsidR="001E67F0" w:rsidRDefault="001E67F0" w:rsidP="001E67F0">
      <w:pPr>
        <w:spacing w:after="0" w:line="240" w:lineRule="auto"/>
        <w:rPr>
          <w:rFonts w:ascii="Arial" w:hAnsi="Arial" w:cs="Arial"/>
        </w:rPr>
      </w:pPr>
      <w:r>
        <w:rPr>
          <w:rFonts w:ascii="Arial" w:hAnsi="Arial" w:cs="Arial"/>
        </w:rPr>
        <w:t>There are tax credits and grants available for agricultural operations that wish to install solar:</w:t>
      </w:r>
    </w:p>
    <w:p w14:paraId="1DAC1501" w14:textId="67F91F8B" w:rsidR="001E67F0" w:rsidRDefault="001E67F0" w:rsidP="001E67F0">
      <w:pPr>
        <w:pStyle w:val="ListParagraph"/>
        <w:numPr>
          <w:ilvl w:val="0"/>
          <w:numId w:val="2"/>
        </w:numPr>
        <w:spacing w:after="0" w:line="240" w:lineRule="auto"/>
        <w:rPr>
          <w:rFonts w:ascii="Arial" w:hAnsi="Arial" w:cs="Arial"/>
        </w:rPr>
      </w:pPr>
      <w:r w:rsidRPr="001E67F0">
        <w:rPr>
          <w:rFonts w:ascii="Arial" w:hAnsi="Arial" w:cs="Arial"/>
        </w:rPr>
        <w:t>There is a 26 percent federal investment tax credit, which is a dollar-for-dollar offset of federal tax liability; but t</w:t>
      </w:r>
      <w:r w:rsidR="00140735">
        <w:rPr>
          <w:rFonts w:ascii="Arial" w:hAnsi="Arial" w:cs="Arial"/>
        </w:rPr>
        <w:t>he</w:t>
      </w:r>
      <w:r w:rsidRPr="001E67F0">
        <w:rPr>
          <w:rFonts w:ascii="Arial" w:hAnsi="Arial" w:cs="Arial"/>
        </w:rPr>
        <w:t xml:space="preserve"> tax credit </w:t>
      </w:r>
      <w:r w:rsidR="00140735">
        <w:rPr>
          <w:rFonts w:ascii="Arial" w:hAnsi="Arial" w:cs="Arial"/>
        </w:rPr>
        <w:t>will taper after 2022, to</w:t>
      </w:r>
      <w:r w:rsidR="00140735" w:rsidRPr="00140735">
        <w:rPr>
          <w:rFonts w:ascii="Arial" w:hAnsi="Arial" w:cs="Arial"/>
        </w:rPr>
        <w:t xml:space="preserve"> 22</w:t>
      </w:r>
      <w:r w:rsidR="00140735">
        <w:rPr>
          <w:rFonts w:ascii="Arial" w:hAnsi="Arial" w:cs="Arial"/>
        </w:rPr>
        <w:t xml:space="preserve"> percent </w:t>
      </w:r>
      <w:r w:rsidR="00140735" w:rsidRPr="00140735">
        <w:rPr>
          <w:rFonts w:ascii="Arial" w:hAnsi="Arial" w:cs="Arial"/>
        </w:rPr>
        <w:t>in 20</w:t>
      </w:r>
      <w:r w:rsidR="00140735">
        <w:rPr>
          <w:rFonts w:ascii="Arial" w:hAnsi="Arial" w:cs="Arial"/>
        </w:rPr>
        <w:t>2</w:t>
      </w:r>
      <w:r w:rsidR="00140735" w:rsidRPr="00140735">
        <w:rPr>
          <w:rFonts w:ascii="Arial" w:hAnsi="Arial" w:cs="Arial"/>
        </w:rPr>
        <w:t>3</w:t>
      </w:r>
      <w:r w:rsidR="00140735">
        <w:rPr>
          <w:rFonts w:ascii="Arial" w:hAnsi="Arial" w:cs="Arial"/>
        </w:rPr>
        <w:t xml:space="preserve"> to</w:t>
      </w:r>
      <w:r w:rsidR="00140735" w:rsidRPr="00140735">
        <w:rPr>
          <w:rFonts w:ascii="Arial" w:hAnsi="Arial" w:cs="Arial"/>
        </w:rPr>
        <w:t>10</w:t>
      </w:r>
      <w:r w:rsidR="00140735">
        <w:rPr>
          <w:rFonts w:ascii="Arial" w:hAnsi="Arial" w:cs="Arial"/>
        </w:rPr>
        <w:t xml:space="preserve"> percent</w:t>
      </w:r>
      <w:r w:rsidR="00140735" w:rsidRPr="00140735">
        <w:rPr>
          <w:rFonts w:ascii="Arial" w:hAnsi="Arial" w:cs="Arial"/>
        </w:rPr>
        <w:t xml:space="preserve"> in 2024</w:t>
      </w:r>
      <w:r w:rsidR="00140735">
        <w:rPr>
          <w:rFonts w:ascii="Arial" w:hAnsi="Arial" w:cs="Arial"/>
        </w:rPr>
        <w:t xml:space="preserve"> and beyond.  </w:t>
      </w:r>
    </w:p>
    <w:p w14:paraId="5EBF6A5C" w14:textId="77777777" w:rsidR="001E67F0" w:rsidRDefault="001E67F0" w:rsidP="001E67F0">
      <w:pPr>
        <w:pStyle w:val="ListParagraph"/>
        <w:numPr>
          <w:ilvl w:val="0"/>
          <w:numId w:val="2"/>
        </w:numPr>
        <w:spacing w:after="0" w:line="240" w:lineRule="auto"/>
        <w:rPr>
          <w:rFonts w:ascii="Arial" w:hAnsi="Arial" w:cs="Arial"/>
        </w:rPr>
      </w:pPr>
      <w:r>
        <w:rPr>
          <w:rFonts w:ascii="Arial" w:hAnsi="Arial" w:cs="Arial"/>
        </w:rPr>
        <w:t xml:space="preserve">Solar owners can depreciate the entire system cost minus half the investment tax credit. The value of depreciation is dependent upon the entity and its tax liability. </w:t>
      </w:r>
    </w:p>
    <w:p w14:paraId="048D47C8" w14:textId="18C987A7" w:rsidR="001E67F0" w:rsidRPr="001E67F0" w:rsidRDefault="001E67F0" w:rsidP="001E67F0">
      <w:pPr>
        <w:pStyle w:val="ListParagraph"/>
        <w:numPr>
          <w:ilvl w:val="0"/>
          <w:numId w:val="2"/>
        </w:numPr>
        <w:spacing w:after="0" w:line="240" w:lineRule="auto"/>
        <w:rPr>
          <w:rFonts w:ascii="Arial" w:hAnsi="Arial" w:cs="Arial"/>
        </w:rPr>
      </w:pPr>
      <w:r>
        <w:rPr>
          <w:rFonts w:ascii="Arial" w:hAnsi="Arial" w:cs="Arial"/>
        </w:rPr>
        <w:t xml:space="preserve">The </w:t>
      </w:r>
      <w:r w:rsidRPr="001E67F0">
        <w:rPr>
          <w:rFonts w:ascii="Arial" w:hAnsi="Arial" w:cs="Arial"/>
        </w:rPr>
        <w:t>Rural Energy for America Program</w:t>
      </w:r>
      <w:r>
        <w:rPr>
          <w:rFonts w:ascii="Arial" w:hAnsi="Arial" w:cs="Arial"/>
        </w:rPr>
        <w:t xml:space="preserve">, or </w:t>
      </w:r>
      <w:r w:rsidRPr="001E67F0">
        <w:rPr>
          <w:rFonts w:ascii="Arial" w:hAnsi="Arial" w:cs="Arial"/>
        </w:rPr>
        <w:t>REAP</w:t>
      </w:r>
      <w:r>
        <w:rPr>
          <w:rFonts w:ascii="Arial" w:hAnsi="Arial" w:cs="Arial"/>
        </w:rPr>
        <w:t>, from the U.S Department of Agriculture,</w:t>
      </w:r>
      <w:r w:rsidRPr="001E67F0">
        <w:rPr>
          <w:rFonts w:ascii="Arial" w:hAnsi="Arial" w:cs="Arial"/>
        </w:rPr>
        <w:t xml:space="preserve"> can provide a grant for up to 25</w:t>
      </w:r>
      <w:r>
        <w:rPr>
          <w:rFonts w:ascii="Arial" w:hAnsi="Arial" w:cs="Arial"/>
        </w:rPr>
        <w:t xml:space="preserve"> percent </w:t>
      </w:r>
      <w:r w:rsidRPr="001E67F0">
        <w:rPr>
          <w:rFonts w:ascii="Arial" w:hAnsi="Arial" w:cs="Arial"/>
        </w:rPr>
        <w:t xml:space="preserve">of the total system cost. </w:t>
      </w:r>
      <w:r>
        <w:rPr>
          <w:rFonts w:ascii="Arial" w:hAnsi="Arial" w:cs="Arial"/>
        </w:rPr>
        <w:t>Hutchings said that “t</w:t>
      </w:r>
      <w:r w:rsidRPr="001E67F0">
        <w:rPr>
          <w:rFonts w:ascii="Arial" w:hAnsi="Arial" w:cs="Arial"/>
        </w:rPr>
        <w:t>he paperwork isn't trivial</w:t>
      </w:r>
      <w:r>
        <w:rPr>
          <w:rFonts w:ascii="Arial" w:hAnsi="Arial" w:cs="Arial"/>
        </w:rPr>
        <w:t>,</w:t>
      </w:r>
      <w:r w:rsidRPr="001E67F0">
        <w:rPr>
          <w:rFonts w:ascii="Arial" w:hAnsi="Arial" w:cs="Arial"/>
        </w:rPr>
        <w:t xml:space="preserve"> but your solar provider should be able to help you through it</w:t>
      </w:r>
      <w:r>
        <w:rPr>
          <w:rFonts w:ascii="Arial" w:hAnsi="Arial" w:cs="Arial"/>
        </w:rPr>
        <w:t xml:space="preserve">.” </w:t>
      </w:r>
    </w:p>
    <w:p w14:paraId="5987FC2D" w14:textId="77CF89F3" w:rsidR="00036624" w:rsidRPr="00036624" w:rsidRDefault="00036624" w:rsidP="00036624">
      <w:pPr>
        <w:spacing w:after="0" w:line="240" w:lineRule="auto"/>
        <w:rPr>
          <w:rFonts w:ascii="Arial" w:hAnsi="Arial" w:cs="Arial"/>
        </w:rPr>
      </w:pPr>
      <w:r w:rsidRPr="00036624">
        <w:rPr>
          <w:rFonts w:ascii="Arial" w:hAnsi="Arial" w:cs="Arial"/>
        </w:rPr>
        <w:lastRenderedPageBreak/>
        <w:t xml:space="preserve">Learn more about </w:t>
      </w:r>
      <w:hyperlink r:id="rId8" w:history="1">
        <w:r w:rsidRPr="00036624">
          <w:rPr>
            <w:rStyle w:val="Hyperlink"/>
            <w:rFonts w:ascii="Arial" w:hAnsi="Arial" w:cs="Arial"/>
          </w:rPr>
          <w:t>solar applications in ag</w:t>
        </w:r>
      </w:hyperlink>
      <w:r w:rsidRPr="00036624">
        <w:rPr>
          <w:rFonts w:ascii="Arial" w:hAnsi="Arial" w:cs="Arial"/>
        </w:rPr>
        <w:t xml:space="preserve">: </w:t>
      </w:r>
      <w:hyperlink r:id="rId9" w:tooltip="uaex.uada.edu/solar" w:history="1">
        <w:r w:rsidRPr="00036624">
          <w:rPr>
            <w:rStyle w:val="Hyperlink"/>
            <w:rFonts w:ascii="Arial" w:hAnsi="Arial" w:cs="Arial"/>
          </w:rPr>
          <w:t>uaex.uada.edu/solar</w:t>
        </w:r>
      </w:hyperlink>
      <w:r>
        <w:rPr>
          <w:rFonts w:ascii="Arial" w:hAnsi="Arial" w:cs="Arial"/>
        </w:rPr>
        <w:t>.</w:t>
      </w:r>
    </w:p>
    <w:p w14:paraId="3431D9D6" w14:textId="5F4F9D69" w:rsidR="001E67F0" w:rsidRDefault="001E67F0" w:rsidP="001E67F0">
      <w:pPr>
        <w:spacing w:after="0" w:line="240" w:lineRule="auto"/>
      </w:pPr>
    </w:p>
    <w:p w14:paraId="72ADB4C0" w14:textId="24EF4DCF" w:rsidR="00036624" w:rsidRPr="000D27F6" w:rsidRDefault="00036624" w:rsidP="00036624">
      <w:pPr>
        <w:shd w:val="clear" w:color="auto" w:fill="FFFFFF"/>
        <w:spacing w:after="100" w:afterAutospacing="1"/>
        <w:rPr>
          <w:rFonts w:ascii="Arial" w:hAnsi="Arial" w:cs="Arial"/>
          <w:color w:val="000000" w:themeColor="text1"/>
        </w:rPr>
      </w:pPr>
      <w:r w:rsidRPr="003217C8">
        <w:rPr>
          <w:rFonts w:ascii="Arial" w:hAnsi="Arial" w:cs="Arial"/>
        </w:rPr>
        <w:t xml:space="preserve">To learn about </w:t>
      </w:r>
      <w:r>
        <w:rPr>
          <w:rFonts w:ascii="Arial" w:hAnsi="Arial" w:cs="Arial"/>
        </w:rPr>
        <w:t xml:space="preserve">research and </w:t>
      </w:r>
      <w:r w:rsidRPr="003217C8">
        <w:rPr>
          <w:rFonts w:ascii="Arial" w:hAnsi="Arial" w:cs="Arial"/>
        </w:rPr>
        <w:t>extension programs in Arkansas, contact your local Cooperative Extension Service agent or visit </w:t>
      </w:r>
      <w:hyperlink r:id="rId10" w:history="1">
        <w:r w:rsidRPr="003217C8">
          <w:rPr>
            <w:rStyle w:val="Hyperlink"/>
            <w:rFonts w:ascii="Arial" w:hAnsi="Arial" w:cs="Arial"/>
          </w:rPr>
          <w:t>www.uaex.uada.edu</w:t>
        </w:r>
      </w:hyperlink>
      <w:r w:rsidRPr="003217C8">
        <w:rPr>
          <w:rFonts w:ascii="Arial" w:hAnsi="Arial" w:cs="Arial"/>
        </w:rPr>
        <w:t xml:space="preserve">. To learn more about Division of Agriculture research, visit the Arkansas Agricultural Experiment Station website: </w:t>
      </w:r>
      <w:hyperlink r:id="rId11" w:history="1">
        <w:r w:rsidRPr="00B006A0">
          <w:rPr>
            <w:rStyle w:val="Hyperlink"/>
            <w:rFonts w:ascii="Arial" w:hAnsi="Arial" w:cs="Arial"/>
          </w:rPr>
          <w:t>https://aaes.uark.edu</w:t>
        </w:r>
      </w:hyperlink>
      <w:r w:rsidRPr="003217C8">
        <w:rPr>
          <w:rFonts w:ascii="Arial" w:hAnsi="Arial" w:cs="Arial"/>
        </w:rPr>
        <w:t>.</w:t>
      </w:r>
      <w:r>
        <w:rPr>
          <w:rFonts w:ascii="Arial" w:hAnsi="Arial" w:cs="Arial"/>
        </w:rPr>
        <w:t xml:space="preserve"> To learn more about the Division of Agriculture, visit </w:t>
      </w:r>
      <w:hyperlink r:id="rId12" w:history="1">
        <w:r w:rsidRPr="00B006A0">
          <w:rPr>
            <w:rStyle w:val="Hyperlink"/>
            <w:rFonts w:ascii="Arial" w:hAnsi="Arial" w:cs="Arial"/>
          </w:rPr>
          <w:t>https://uada.edu/</w:t>
        </w:r>
      </w:hyperlink>
    </w:p>
    <w:p w14:paraId="4E7CFB9C" w14:textId="7419FEDC" w:rsidR="00C66ABE" w:rsidRDefault="00C66ABE" w:rsidP="00C66ABE">
      <w:pPr>
        <w:spacing w:after="0" w:line="240" w:lineRule="auto"/>
        <w:rPr>
          <w:rFonts w:ascii="Arial" w:hAnsi="Arial" w:cs="Arial"/>
        </w:rPr>
      </w:pPr>
      <w:r w:rsidRPr="00FA6930">
        <w:rPr>
          <w:rFonts w:ascii="Arial" w:hAnsi="Arial" w:cs="Arial"/>
        </w:rPr>
        <w:t xml:space="preserve">Follow us on Twitter at @AgInArk, @uaex_edu or @ArkAgResearch. </w:t>
      </w:r>
    </w:p>
    <w:p w14:paraId="2BCD81F0" w14:textId="77777777" w:rsidR="00C66ABE" w:rsidRPr="00FA6930" w:rsidRDefault="00C66ABE" w:rsidP="00C66ABE">
      <w:pPr>
        <w:spacing w:after="0" w:line="240" w:lineRule="auto"/>
        <w:rPr>
          <w:rFonts w:ascii="Arial" w:eastAsia="Times New Roman" w:hAnsi="Arial" w:cs="Arial"/>
          <w:color w:val="000000"/>
        </w:rPr>
      </w:pPr>
    </w:p>
    <w:p w14:paraId="05FEAE1B" w14:textId="77777777" w:rsidR="00C66ABE" w:rsidRPr="00FA6930" w:rsidRDefault="00C66ABE" w:rsidP="00C66ABE">
      <w:pPr>
        <w:spacing w:after="0" w:line="240" w:lineRule="auto"/>
        <w:rPr>
          <w:rFonts w:ascii="Arial" w:hAnsi="Arial" w:cs="Arial"/>
          <w:b/>
          <w:color w:val="000000" w:themeColor="text1"/>
        </w:rPr>
      </w:pPr>
      <w:r w:rsidRPr="00FA6930">
        <w:rPr>
          <w:rFonts w:ascii="Arial" w:hAnsi="Arial" w:cs="Arial"/>
          <w:b/>
          <w:color w:val="000000" w:themeColor="text1"/>
        </w:rPr>
        <w:t>About the Division of Agriculture</w:t>
      </w:r>
    </w:p>
    <w:p w14:paraId="1669F417" w14:textId="77777777" w:rsidR="00C66ABE" w:rsidRPr="00FA6930" w:rsidRDefault="00C66ABE" w:rsidP="00C66ABE">
      <w:pPr>
        <w:spacing w:after="0" w:line="240" w:lineRule="auto"/>
        <w:rPr>
          <w:rFonts w:ascii="Arial" w:hAnsi="Arial" w:cs="Arial"/>
          <w:color w:val="000000" w:themeColor="text1"/>
        </w:rPr>
      </w:pPr>
      <w:r w:rsidRPr="00FA6930">
        <w:rPr>
          <w:rFonts w:ascii="Arial" w:hAnsi="Arial" w:cs="Arial"/>
          <w:color w:val="000000" w:themeColor="text1"/>
        </w:rPr>
        <w:t>The University of Arkansas System Division of Agriculture’s mission is to strengthen agriculture, communities, and families by connecting trusted research to the adoption of best practices. Through the Agricultural Experiment Station and the Cooperative Extension Service, the Division of Agriculture conducts research and extension work within the nation’s historic land grant education system.</w:t>
      </w:r>
    </w:p>
    <w:p w14:paraId="79C5C542" w14:textId="77777777" w:rsidR="00C66ABE" w:rsidRDefault="00C66ABE" w:rsidP="00C66ABE">
      <w:pPr>
        <w:pStyle w:val="xmsonormal"/>
        <w:spacing w:before="0" w:beforeAutospacing="0" w:after="0" w:afterAutospacing="0"/>
        <w:rPr>
          <w:rFonts w:ascii="Arial" w:hAnsi="Arial" w:cs="Arial"/>
          <w:color w:val="000000" w:themeColor="text1"/>
          <w:sz w:val="22"/>
          <w:szCs w:val="22"/>
        </w:rPr>
      </w:pPr>
    </w:p>
    <w:p w14:paraId="332D69F1" w14:textId="77777777" w:rsidR="00C66ABE" w:rsidRPr="00FA6930" w:rsidRDefault="00C66ABE" w:rsidP="00C66ABE">
      <w:pPr>
        <w:pStyle w:val="xmsonormal"/>
        <w:spacing w:before="0" w:beforeAutospacing="0" w:after="0" w:afterAutospacing="0"/>
        <w:rPr>
          <w:rFonts w:ascii="Arial" w:hAnsi="Arial" w:cs="Arial"/>
          <w:color w:val="000000" w:themeColor="text1"/>
          <w:sz w:val="22"/>
          <w:szCs w:val="22"/>
        </w:rPr>
      </w:pPr>
      <w:r w:rsidRPr="00FA6930">
        <w:rPr>
          <w:rFonts w:ascii="Arial" w:hAnsi="Arial" w:cs="Arial"/>
          <w:color w:val="000000" w:themeColor="text1"/>
          <w:sz w:val="22"/>
          <w:szCs w:val="22"/>
        </w:rPr>
        <w:t>The Division of Agriculture is one of 20 entities within the University of Arkansas System. It has offices in all 75 counties in Arkansas and faculty on five system campuses.</w:t>
      </w:r>
    </w:p>
    <w:p w14:paraId="70460ADB" w14:textId="77777777" w:rsidR="00C66ABE" w:rsidRPr="00FA6930" w:rsidRDefault="00C66ABE" w:rsidP="00C66ABE">
      <w:pPr>
        <w:pStyle w:val="xmsonormal"/>
        <w:spacing w:before="0" w:beforeAutospacing="0" w:after="0" w:afterAutospacing="0"/>
        <w:rPr>
          <w:rFonts w:ascii="Arial" w:hAnsi="Arial" w:cs="Arial"/>
          <w:color w:val="000000" w:themeColor="text1"/>
          <w:sz w:val="22"/>
          <w:szCs w:val="22"/>
        </w:rPr>
      </w:pPr>
    </w:p>
    <w:p w14:paraId="4A1B5843" w14:textId="77777777" w:rsidR="00C66ABE" w:rsidRPr="00FA6930" w:rsidRDefault="00C66ABE" w:rsidP="00C66ABE">
      <w:pPr>
        <w:pStyle w:val="xmsonormal"/>
        <w:shd w:val="clear" w:color="auto" w:fill="FFFFFF"/>
        <w:spacing w:before="0" w:beforeAutospacing="0" w:after="0" w:afterAutospacing="0"/>
        <w:rPr>
          <w:rFonts w:ascii="Arial" w:hAnsi="Arial" w:cs="Arial"/>
          <w:color w:val="000000" w:themeColor="text1"/>
          <w:sz w:val="22"/>
          <w:szCs w:val="22"/>
        </w:rPr>
      </w:pPr>
      <w:r w:rsidRPr="00FA6930">
        <w:rPr>
          <w:rFonts w:ascii="Arial" w:hAnsi="Arial" w:cs="Arial"/>
          <w:color w:val="000000" w:themeColor="text1"/>
          <w:sz w:val="22"/>
          <w:szCs w:val="22"/>
        </w:rPr>
        <w:t>The University of Arkansas System Division of Agriculture offers all its Extension and Research programs and services without regard to race, color, sex, gender identity, sexual orientation, national origin, religion, age, disability, marital or veteran status, genetic information, or any other legally protected status, and is an Affirmative Action/Equal Opportunity Employer.</w:t>
      </w:r>
    </w:p>
    <w:p w14:paraId="1615E0FA" w14:textId="77777777" w:rsidR="00C66ABE" w:rsidRPr="00FA6930" w:rsidRDefault="00C66ABE" w:rsidP="00C66ABE">
      <w:pPr>
        <w:spacing w:after="0" w:line="240" w:lineRule="auto"/>
        <w:rPr>
          <w:rFonts w:ascii="Arial" w:hAnsi="Arial" w:cs="Arial"/>
        </w:rPr>
      </w:pPr>
    </w:p>
    <w:p w14:paraId="60649A1B" w14:textId="77777777" w:rsidR="00C66ABE" w:rsidRPr="00FA6930" w:rsidRDefault="00C66ABE" w:rsidP="00C66ABE">
      <w:pPr>
        <w:spacing w:after="0" w:line="240" w:lineRule="auto"/>
        <w:rPr>
          <w:rFonts w:ascii="Arial" w:hAnsi="Arial" w:cs="Arial"/>
        </w:rPr>
      </w:pPr>
    </w:p>
    <w:p w14:paraId="0E78DBFF" w14:textId="77777777" w:rsidR="00C66ABE" w:rsidRPr="00261D3C" w:rsidRDefault="00C66ABE" w:rsidP="00C66ABE">
      <w:pPr>
        <w:spacing w:after="0" w:line="240" w:lineRule="auto"/>
        <w:jc w:val="center"/>
        <w:rPr>
          <w:rFonts w:ascii="Arial" w:hAnsi="Arial" w:cs="Arial"/>
        </w:rPr>
      </w:pPr>
      <w:r w:rsidRPr="00FA6930">
        <w:rPr>
          <w:rFonts w:ascii="Arial" w:hAnsi="Arial" w:cs="Arial"/>
        </w:rPr>
        <w:t># # #</w:t>
      </w:r>
    </w:p>
    <w:p w14:paraId="03D67204" w14:textId="77777777" w:rsidR="00C66ABE" w:rsidRDefault="00C66ABE"/>
    <w:sectPr w:rsidR="00C66ABE" w:rsidSect="005B07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06961"/>
    <w:multiLevelType w:val="hybridMultilevel"/>
    <w:tmpl w:val="1AAA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F053D7"/>
    <w:multiLevelType w:val="hybridMultilevel"/>
    <w:tmpl w:val="6052B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ABE"/>
    <w:rsid w:val="00036624"/>
    <w:rsid w:val="00140735"/>
    <w:rsid w:val="001E67F0"/>
    <w:rsid w:val="00353059"/>
    <w:rsid w:val="0059454C"/>
    <w:rsid w:val="005B0776"/>
    <w:rsid w:val="007146C5"/>
    <w:rsid w:val="00A0092F"/>
    <w:rsid w:val="00AC64CC"/>
    <w:rsid w:val="00C66ABE"/>
    <w:rsid w:val="00DF7636"/>
    <w:rsid w:val="00E34173"/>
    <w:rsid w:val="00E95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3D5E26"/>
  <w15:chartTrackingRefBased/>
  <w15:docId w15:val="{44E4FC1F-C8F6-3746-A39F-7A0351E40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ABE"/>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6ABE"/>
    <w:pPr>
      <w:ind w:left="720"/>
      <w:contextualSpacing/>
    </w:pPr>
  </w:style>
  <w:style w:type="character" w:styleId="Hyperlink">
    <w:name w:val="Hyperlink"/>
    <w:basedOn w:val="DefaultParagraphFont"/>
    <w:uiPriority w:val="99"/>
    <w:unhideWhenUsed/>
    <w:rsid w:val="00C66ABE"/>
    <w:rPr>
      <w:color w:val="0563C1" w:themeColor="hyperlink"/>
      <w:u w:val="single"/>
    </w:rPr>
  </w:style>
  <w:style w:type="paragraph" w:customStyle="1" w:styleId="xmsonormal">
    <w:name w:val="x_msonormal"/>
    <w:basedOn w:val="Normal"/>
    <w:rsid w:val="00C66ABE"/>
    <w:pPr>
      <w:spacing w:before="100" w:beforeAutospacing="1" w:after="100" w:afterAutospacing="1" w:line="240" w:lineRule="auto"/>
    </w:pPr>
    <w:rPr>
      <w:rFonts w:ascii="Times New Roman" w:eastAsiaTheme="minorEastAsia" w:hAnsi="Times New Roman" w:cs="Times New Roman"/>
      <w:sz w:val="24"/>
      <w:szCs w:val="24"/>
    </w:rPr>
  </w:style>
  <w:style w:type="character" w:styleId="UnresolvedMention">
    <w:name w:val="Unresolved Mention"/>
    <w:basedOn w:val="DefaultParagraphFont"/>
    <w:uiPriority w:val="99"/>
    <w:semiHidden/>
    <w:unhideWhenUsed/>
    <w:rsid w:val="000366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7534566">
      <w:bodyDiv w:val="1"/>
      <w:marLeft w:val="0"/>
      <w:marRight w:val="0"/>
      <w:marTop w:val="0"/>
      <w:marBottom w:val="0"/>
      <w:divBdr>
        <w:top w:val="none" w:sz="0" w:space="0" w:color="auto"/>
        <w:left w:val="none" w:sz="0" w:space="0" w:color="auto"/>
        <w:bottom w:val="none" w:sz="0" w:space="0" w:color="auto"/>
        <w:right w:val="none" w:sz="0" w:space="0" w:color="auto"/>
      </w:divBdr>
    </w:div>
    <w:div w:id="152551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aex.uada.edu/sola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lic.kr/s/aHsmVRKzi9" TargetMode="External"/><Relationship Id="rId12" Type="http://schemas.openxmlformats.org/officeDocument/2006/relationships/hyperlink" Target="https://uada.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hightower@uada.edu" TargetMode="External"/><Relationship Id="rId11" Type="http://schemas.openxmlformats.org/officeDocument/2006/relationships/hyperlink" Target="https://aaes.uark.edu" TargetMode="External"/><Relationship Id="rId5" Type="http://schemas.openxmlformats.org/officeDocument/2006/relationships/image" Target="media/image1.emf"/><Relationship Id="rId10" Type="http://schemas.openxmlformats.org/officeDocument/2006/relationships/hyperlink" Target="http://www.uaex.uada.edu/" TargetMode="External"/><Relationship Id="rId4" Type="http://schemas.openxmlformats.org/officeDocument/2006/relationships/webSettings" Target="webSettings.xml"/><Relationship Id="rId9" Type="http://schemas.openxmlformats.org/officeDocument/2006/relationships/hyperlink" Target="http://uaex.uada.edu/sola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729</Words>
  <Characters>4159</Characters>
  <Application>Microsoft Office Word</Application>
  <DocSecurity>0</DocSecurity>
  <Lines>34</Lines>
  <Paragraphs>9</Paragraphs>
  <ScaleCrop>false</ScaleCrop>
  <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 Hightower</dc:creator>
  <cp:keywords/>
  <dc:description/>
  <cp:lastModifiedBy>Mary F Hightower</cp:lastModifiedBy>
  <cp:revision>11</cp:revision>
  <dcterms:created xsi:type="dcterms:W3CDTF">2021-05-24T15:58:00Z</dcterms:created>
  <dcterms:modified xsi:type="dcterms:W3CDTF">2021-05-27T19:37:00Z</dcterms:modified>
</cp:coreProperties>
</file>