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6F40D" w14:textId="77777777" w:rsidR="001E685A" w:rsidRDefault="001E685A">
      <w:pPr>
        <w:rPr>
          <w:rFonts w:ascii="Arial" w:eastAsia="Arial" w:hAnsi="Arial" w:cs="Arial"/>
          <w:sz w:val="22"/>
          <w:szCs w:val="22"/>
        </w:rPr>
      </w:pPr>
    </w:p>
    <w:p w14:paraId="535D7475" w14:textId="77777777" w:rsidR="001E685A" w:rsidRDefault="001E685A">
      <w:pPr>
        <w:rPr>
          <w:rFonts w:ascii="Arial" w:eastAsia="Arial" w:hAnsi="Arial" w:cs="Arial"/>
          <w:sz w:val="22"/>
          <w:szCs w:val="22"/>
        </w:rPr>
      </w:pPr>
    </w:p>
    <w:p w14:paraId="43498F56" w14:textId="77777777" w:rsidR="001E685A" w:rsidRDefault="001E685A">
      <w:pPr>
        <w:rPr>
          <w:rFonts w:ascii="Arial" w:eastAsia="Arial" w:hAnsi="Arial" w:cs="Arial"/>
          <w:sz w:val="22"/>
          <w:szCs w:val="22"/>
        </w:rPr>
      </w:pPr>
    </w:p>
    <w:p w14:paraId="780CA01E" w14:textId="77777777" w:rsidR="001E685A" w:rsidRDefault="00001E52">
      <w:pPr>
        <w:rPr>
          <w:rFonts w:ascii="Arial" w:eastAsia="Arial" w:hAnsi="Arial" w:cs="Arial"/>
          <w:sz w:val="22"/>
          <w:szCs w:val="22"/>
        </w:rPr>
      </w:pPr>
      <w:r>
        <w:rPr>
          <w:rFonts w:ascii="Arial" w:eastAsia="Arial" w:hAnsi="Arial" w:cs="Arial"/>
          <w:sz w:val="22"/>
          <w:szCs w:val="22"/>
        </w:rPr>
        <w:t>Media Contact: Will Clark</w:t>
      </w:r>
      <w:r>
        <w:rPr>
          <w:rFonts w:ascii="Arial" w:eastAsia="Arial" w:hAnsi="Arial" w:cs="Arial"/>
          <w:sz w:val="22"/>
          <w:szCs w:val="22"/>
        </w:rPr>
        <w:tab/>
      </w:r>
      <w:r>
        <w:rPr>
          <w:rFonts w:ascii="Arial" w:eastAsia="Arial" w:hAnsi="Arial" w:cs="Arial"/>
          <w:sz w:val="22"/>
          <w:szCs w:val="22"/>
        </w:rPr>
        <w:tab/>
        <w:t xml:space="preserve">  </w:t>
      </w:r>
      <w:hyperlink r:id="rId8">
        <w:r>
          <w:rPr>
            <w:rFonts w:ascii="Arial" w:eastAsia="Arial" w:hAnsi="Arial" w:cs="Arial"/>
            <w:color w:val="1155CC"/>
            <w:sz w:val="22"/>
            <w:szCs w:val="22"/>
            <w:u w:val="single"/>
          </w:rPr>
          <w:t>wwc001@uark.edu</w:t>
        </w:r>
      </w:hyperlink>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479-502-9708</w:t>
      </w:r>
    </w:p>
    <w:p w14:paraId="1767A2DA" w14:textId="1E405F6A" w:rsidR="001E685A" w:rsidRDefault="00001E52">
      <w:pPr>
        <w:rPr>
          <w:rFonts w:ascii="Arial" w:eastAsia="Arial" w:hAnsi="Arial" w:cs="Arial"/>
          <w:sz w:val="22"/>
          <w:szCs w:val="22"/>
        </w:rPr>
      </w:pPr>
      <w:r>
        <w:rPr>
          <w:rFonts w:ascii="Arial" w:eastAsia="Arial" w:hAnsi="Arial" w:cs="Arial"/>
          <w:sz w:val="22"/>
          <w:szCs w:val="22"/>
        </w:rPr>
        <w:t>Feb. 0</w:t>
      </w:r>
      <w:r w:rsidR="00984BBF">
        <w:rPr>
          <w:rFonts w:ascii="Arial" w:eastAsia="Arial" w:hAnsi="Arial" w:cs="Arial"/>
          <w:sz w:val="22"/>
          <w:szCs w:val="22"/>
        </w:rPr>
        <w:t>5</w:t>
      </w:r>
      <w:r>
        <w:rPr>
          <w:rFonts w:ascii="Arial" w:eastAsia="Arial" w:hAnsi="Arial" w:cs="Arial"/>
          <w:sz w:val="22"/>
          <w:szCs w:val="22"/>
        </w:rPr>
        <w:t>, 2021</w:t>
      </w:r>
    </w:p>
    <w:p w14:paraId="7DDF33B9" w14:textId="77777777" w:rsidR="001E685A" w:rsidRDefault="001E685A">
      <w:pPr>
        <w:rPr>
          <w:rFonts w:ascii="Arial" w:eastAsia="Arial" w:hAnsi="Arial" w:cs="Arial"/>
          <w:b/>
          <w:color w:val="201F1E"/>
          <w:sz w:val="22"/>
          <w:szCs w:val="22"/>
          <w:highlight w:val="white"/>
        </w:rPr>
      </w:pPr>
    </w:p>
    <w:p w14:paraId="76D038B0" w14:textId="419E95C5" w:rsidR="001E685A" w:rsidRDefault="00001E52">
      <w:pPr>
        <w:rPr>
          <w:rFonts w:ascii="Arial" w:eastAsia="Arial" w:hAnsi="Arial" w:cs="Arial"/>
          <w:b/>
          <w:color w:val="201F1E"/>
          <w:sz w:val="22"/>
          <w:szCs w:val="22"/>
          <w:highlight w:val="white"/>
        </w:rPr>
      </w:pPr>
      <w:r>
        <w:rPr>
          <w:rFonts w:ascii="Arial" w:eastAsia="Arial" w:hAnsi="Arial" w:cs="Arial"/>
          <w:b/>
          <w:color w:val="201F1E"/>
          <w:sz w:val="22"/>
          <w:szCs w:val="22"/>
          <w:highlight w:val="white"/>
        </w:rPr>
        <w:t xml:space="preserve">Federal crop insurance considerations &amp; updates </w:t>
      </w:r>
      <w:r w:rsidR="003F5F74">
        <w:rPr>
          <w:rFonts w:ascii="Arial" w:eastAsia="Arial" w:hAnsi="Arial" w:cs="Arial"/>
          <w:b/>
          <w:color w:val="201F1E"/>
          <w:sz w:val="22"/>
          <w:szCs w:val="22"/>
          <w:highlight w:val="white"/>
        </w:rPr>
        <w:t xml:space="preserve">to be </w:t>
      </w:r>
      <w:r>
        <w:rPr>
          <w:rFonts w:ascii="Arial" w:eastAsia="Arial" w:hAnsi="Arial" w:cs="Arial"/>
          <w:b/>
          <w:color w:val="201F1E"/>
          <w:sz w:val="22"/>
          <w:szCs w:val="22"/>
          <w:highlight w:val="white"/>
        </w:rPr>
        <w:t>addressed in Feb. 17 webinar</w:t>
      </w:r>
    </w:p>
    <w:p w14:paraId="2D1BBB23" w14:textId="77777777" w:rsidR="001E685A" w:rsidRDefault="001E685A">
      <w:pPr>
        <w:rPr>
          <w:rFonts w:ascii="Arial" w:eastAsia="Arial" w:hAnsi="Arial" w:cs="Arial"/>
          <w:b/>
          <w:color w:val="201F1E"/>
          <w:sz w:val="22"/>
          <w:szCs w:val="22"/>
          <w:highlight w:val="white"/>
        </w:rPr>
      </w:pPr>
    </w:p>
    <w:p w14:paraId="1BE709A8" w14:textId="77777777" w:rsidR="001E685A" w:rsidRDefault="00001E52">
      <w:pPr>
        <w:rPr>
          <w:rFonts w:ascii="Arial" w:eastAsia="Arial" w:hAnsi="Arial" w:cs="Arial"/>
          <w:sz w:val="22"/>
          <w:szCs w:val="22"/>
        </w:rPr>
      </w:pPr>
      <w:r>
        <w:rPr>
          <w:rFonts w:ascii="Arial" w:eastAsia="Arial" w:hAnsi="Arial" w:cs="Arial"/>
          <w:sz w:val="22"/>
          <w:szCs w:val="22"/>
        </w:rPr>
        <w:t>By Will Clark</w:t>
      </w:r>
    </w:p>
    <w:p w14:paraId="096A20A4" w14:textId="77777777" w:rsidR="001E685A" w:rsidRDefault="00001E52">
      <w:pPr>
        <w:rPr>
          <w:rFonts w:ascii="Arial" w:eastAsia="Arial" w:hAnsi="Arial" w:cs="Arial"/>
          <w:sz w:val="22"/>
          <w:szCs w:val="22"/>
        </w:rPr>
      </w:pPr>
      <w:r>
        <w:rPr>
          <w:rFonts w:ascii="Arial" w:eastAsia="Arial" w:hAnsi="Arial" w:cs="Arial"/>
          <w:sz w:val="22"/>
          <w:szCs w:val="22"/>
        </w:rPr>
        <w:t xml:space="preserve">U of A System Division of Agriculture </w:t>
      </w:r>
    </w:p>
    <w:p w14:paraId="4772E64E" w14:textId="77777777" w:rsidR="001E685A" w:rsidRDefault="001E685A">
      <w:pPr>
        <w:rPr>
          <w:rFonts w:ascii="Arial" w:eastAsia="Arial" w:hAnsi="Arial" w:cs="Arial"/>
          <w:b/>
          <w:color w:val="201F1E"/>
          <w:sz w:val="22"/>
          <w:szCs w:val="22"/>
          <w:highlight w:val="white"/>
        </w:rPr>
      </w:pPr>
    </w:p>
    <w:p w14:paraId="1DFA170E" w14:textId="77777777" w:rsidR="001E685A" w:rsidRDefault="00001E52">
      <w:pPr>
        <w:rPr>
          <w:rFonts w:ascii="Arial" w:eastAsia="Arial" w:hAnsi="Arial" w:cs="Arial"/>
          <w:b/>
        </w:rPr>
      </w:pPr>
      <w:r>
        <w:rPr>
          <w:rFonts w:ascii="Arial" w:eastAsia="Arial" w:hAnsi="Arial" w:cs="Arial"/>
          <w:b/>
          <w:color w:val="201F1E"/>
          <w:sz w:val="22"/>
          <w:szCs w:val="22"/>
          <w:highlight w:val="white"/>
        </w:rPr>
        <w:t xml:space="preserve">Fast facts: </w:t>
      </w:r>
    </w:p>
    <w:p w14:paraId="1E5329F6" w14:textId="77777777" w:rsidR="001E685A" w:rsidRDefault="00001E52">
      <w:pPr>
        <w:numPr>
          <w:ilvl w:val="0"/>
          <w:numId w:val="1"/>
        </w:numPr>
        <w:pBdr>
          <w:top w:val="nil"/>
          <w:left w:val="nil"/>
          <w:bottom w:val="nil"/>
          <w:right w:val="nil"/>
          <w:between w:val="nil"/>
        </w:pBdr>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Webinar hosted by the National Agricultural Law Center will provide updates on federal crop insurance</w:t>
      </w:r>
    </w:p>
    <w:p w14:paraId="777D8CD8" w14:textId="66FE58F9" w:rsidR="001E685A" w:rsidRDefault="00001E52">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Webinar </w:t>
      </w:r>
      <w:r w:rsidR="008C0A0E">
        <w:rPr>
          <w:rFonts w:ascii="Arial" w:eastAsia="Arial" w:hAnsi="Arial" w:cs="Arial"/>
          <w:color w:val="000000"/>
          <w:sz w:val="22"/>
          <w:szCs w:val="22"/>
        </w:rPr>
        <w:t>scheduled for</w:t>
      </w:r>
      <w:r>
        <w:rPr>
          <w:rFonts w:ascii="Arial" w:eastAsia="Arial" w:hAnsi="Arial" w:cs="Arial"/>
          <w:color w:val="000000"/>
          <w:sz w:val="22"/>
          <w:szCs w:val="22"/>
        </w:rPr>
        <w:t xml:space="preserve"> Feb. 17 at noon to 1 p.m. EST</w:t>
      </w:r>
    </w:p>
    <w:p w14:paraId="26912970" w14:textId="7DE696AE" w:rsidR="001E685A" w:rsidRPr="008C0A0E" w:rsidRDefault="00001E52">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Register online at </w:t>
      </w:r>
      <w:hyperlink r:id="rId9">
        <w:r>
          <w:rPr>
            <w:rFonts w:ascii="Arial" w:eastAsia="Arial" w:hAnsi="Arial" w:cs="Arial"/>
            <w:color w:val="0563C1"/>
            <w:sz w:val="22"/>
            <w:szCs w:val="22"/>
            <w:u w:val="single"/>
          </w:rPr>
          <w:t>https://bit.ly/2JRlfof</w:t>
        </w:r>
      </w:hyperlink>
      <w:r>
        <w:rPr>
          <w:rFonts w:ascii="Arial" w:eastAsia="Arial" w:hAnsi="Arial" w:cs="Arial"/>
          <w:color w:val="000000"/>
          <w:sz w:val="22"/>
          <w:szCs w:val="22"/>
        </w:rPr>
        <w:t xml:space="preserve"> </w:t>
      </w:r>
    </w:p>
    <w:p w14:paraId="3E12AE6F" w14:textId="1C2FA3A2" w:rsidR="008C0A0E" w:rsidRDefault="008C0A0E">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No cost to participate</w:t>
      </w:r>
    </w:p>
    <w:p w14:paraId="29EF87FA" w14:textId="77777777" w:rsidR="001E685A" w:rsidRDefault="001E685A">
      <w:pPr>
        <w:rPr>
          <w:rFonts w:ascii="Arial" w:eastAsia="Arial" w:hAnsi="Arial" w:cs="Arial"/>
          <w:sz w:val="22"/>
          <w:szCs w:val="22"/>
        </w:rPr>
      </w:pPr>
    </w:p>
    <w:p w14:paraId="654056F0" w14:textId="5E34E3FD" w:rsidR="001E685A" w:rsidRDefault="00EB32FB">
      <w:pPr>
        <w:rPr>
          <w:rFonts w:ascii="Arial" w:eastAsia="Arial" w:hAnsi="Arial" w:cs="Arial"/>
          <w:sz w:val="22"/>
          <w:szCs w:val="22"/>
        </w:rPr>
      </w:pPr>
      <w:r>
        <w:rPr>
          <w:rFonts w:ascii="Arial" w:eastAsia="Arial" w:hAnsi="Arial" w:cs="Arial"/>
          <w:sz w:val="22"/>
          <w:szCs w:val="22"/>
        </w:rPr>
        <w:t>(192 words)</w:t>
      </w:r>
      <w:r>
        <w:rPr>
          <w:rFonts w:ascii="Arial" w:eastAsia="Arial" w:hAnsi="Arial" w:cs="Arial"/>
          <w:sz w:val="22"/>
          <w:szCs w:val="22"/>
        </w:rPr>
        <w:br/>
        <w:t xml:space="preserve">(Newsrooms: With file art of Ballard at </w:t>
      </w:r>
      <w:hyperlink r:id="rId10" w:history="1">
        <w:r w:rsidRPr="000C45CC">
          <w:rPr>
            <w:rStyle w:val="Hyperlink"/>
            <w:rFonts w:ascii="Arial" w:eastAsia="Arial" w:hAnsi="Arial" w:cs="Arial"/>
            <w:sz w:val="22"/>
            <w:szCs w:val="22"/>
          </w:rPr>
          <w:t>https://flic.kr/p/Dbc1fj</w:t>
        </w:r>
      </w:hyperlink>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br/>
      </w:r>
      <w:r w:rsidR="00001E52">
        <w:rPr>
          <w:rFonts w:ascii="Arial" w:eastAsia="Arial" w:hAnsi="Arial" w:cs="Arial"/>
          <w:sz w:val="22"/>
          <w:szCs w:val="22"/>
        </w:rPr>
        <w:t>FAYETTEVILLE, Ark. — After a season of volatile markets, unforgiving weather patterns and a global pandemic, federal crop insurance will play a key role in keeping many agricultural producers afloat in 2021.</w:t>
      </w:r>
    </w:p>
    <w:p w14:paraId="70541C36" w14:textId="77777777" w:rsidR="001E685A" w:rsidRDefault="001E685A">
      <w:pPr>
        <w:rPr>
          <w:rFonts w:ascii="Arial" w:eastAsia="Arial" w:hAnsi="Arial" w:cs="Arial"/>
          <w:sz w:val="22"/>
          <w:szCs w:val="22"/>
        </w:rPr>
      </w:pPr>
    </w:p>
    <w:p w14:paraId="65CB3A74" w14:textId="77777777" w:rsidR="001E685A" w:rsidRDefault="00001E52">
      <w:pPr>
        <w:rPr>
          <w:rFonts w:ascii="Arial" w:eastAsia="Arial" w:hAnsi="Arial" w:cs="Arial"/>
          <w:sz w:val="22"/>
          <w:szCs w:val="22"/>
        </w:rPr>
      </w:pPr>
      <w:r>
        <w:rPr>
          <w:rFonts w:ascii="Arial" w:eastAsia="Arial" w:hAnsi="Arial" w:cs="Arial"/>
          <w:sz w:val="22"/>
          <w:szCs w:val="22"/>
        </w:rPr>
        <w:t xml:space="preserve">Although many producers may rely on this safety net, federal crop insurance can be a difficult topic to navigate for producers, lenders and attorneys. </w:t>
      </w:r>
    </w:p>
    <w:p w14:paraId="408E5147" w14:textId="77777777" w:rsidR="001E685A" w:rsidRDefault="001E685A">
      <w:pPr>
        <w:rPr>
          <w:rFonts w:ascii="Arial" w:eastAsia="Arial" w:hAnsi="Arial" w:cs="Arial"/>
          <w:sz w:val="22"/>
          <w:szCs w:val="22"/>
        </w:rPr>
      </w:pPr>
    </w:p>
    <w:p w14:paraId="2ED0E22B" w14:textId="10F350AA" w:rsidR="001E685A" w:rsidRDefault="00001E52">
      <w:pPr>
        <w:rPr>
          <w:rFonts w:ascii="Arial" w:eastAsia="Arial" w:hAnsi="Arial" w:cs="Arial"/>
          <w:sz w:val="22"/>
          <w:szCs w:val="22"/>
        </w:rPr>
      </w:pPr>
      <w:r>
        <w:rPr>
          <w:rFonts w:ascii="Arial" w:eastAsia="Arial" w:hAnsi="Arial" w:cs="Arial"/>
          <w:sz w:val="22"/>
          <w:szCs w:val="22"/>
        </w:rPr>
        <w:t>“Federal crop insurance is an integral part of producers’ risk management throughout the agricultural sector,” Grant Ballard, partner at the firm of Ark Ag Law, PLLC</w:t>
      </w:r>
      <w:r w:rsidR="00EB32FB">
        <w:rPr>
          <w:rFonts w:ascii="Arial" w:eastAsia="Arial" w:hAnsi="Arial" w:cs="Arial"/>
          <w:sz w:val="22"/>
          <w:szCs w:val="22"/>
        </w:rPr>
        <w:t>,</w:t>
      </w:r>
      <w:r w:rsidR="00EB32FB" w:rsidRPr="00EB32FB">
        <w:rPr>
          <w:rFonts w:ascii="Arial" w:eastAsia="Arial" w:hAnsi="Arial" w:cs="Arial"/>
          <w:sz w:val="22"/>
          <w:szCs w:val="22"/>
        </w:rPr>
        <w:t xml:space="preserve"> </w:t>
      </w:r>
      <w:r w:rsidR="00EB32FB">
        <w:rPr>
          <w:rFonts w:ascii="Arial" w:eastAsia="Arial" w:hAnsi="Arial" w:cs="Arial"/>
          <w:sz w:val="22"/>
          <w:szCs w:val="22"/>
        </w:rPr>
        <w:t>said</w:t>
      </w:r>
      <w:r>
        <w:rPr>
          <w:rFonts w:ascii="Arial" w:eastAsia="Arial" w:hAnsi="Arial" w:cs="Arial"/>
          <w:sz w:val="22"/>
          <w:szCs w:val="22"/>
        </w:rPr>
        <w:t xml:space="preserve">. “However, frequent updates and changes can make this topic difficult to follow.” </w:t>
      </w:r>
    </w:p>
    <w:p w14:paraId="1E814924" w14:textId="77777777" w:rsidR="001E685A" w:rsidRDefault="001E685A">
      <w:pPr>
        <w:rPr>
          <w:rFonts w:ascii="Arial" w:eastAsia="Arial" w:hAnsi="Arial" w:cs="Arial"/>
          <w:sz w:val="22"/>
          <w:szCs w:val="22"/>
        </w:rPr>
      </w:pPr>
    </w:p>
    <w:p w14:paraId="60DFA26C" w14:textId="435A32EF" w:rsidR="001E685A" w:rsidRDefault="00001E52">
      <w:pPr>
        <w:rPr>
          <w:rFonts w:ascii="Arial" w:eastAsia="Arial" w:hAnsi="Arial" w:cs="Arial"/>
          <w:sz w:val="22"/>
          <w:szCs w:val="22"/>
        </w:rPr>
      </w:pPr>
      <w:r>
        <w:rPr>
          <w:rFonts w:ascii="Arial" w:eastAsia="Arial" w:hAnsi="Arial" w:cs="Arial"/>
          <w:sz w:val="22"/>
          <w:szCs w:val="22"/>
        </w:rPr>
        <w:t xml:space="preserve">Ballard will provide clarity on the current landscape of federal crop insurance in a National Agricultural Law Center webinar </w:t>
      </w:r>
      <w:r w:rsidR="00EB32FB">
        <w:rPr>
          <w:rFonts w:ascii="Arial" w:eastAsia="Arial" w:hAnsi="Arial" w:cs="Arial"/>
          <w:sz w:val="22"/>
          <w:szCs w:val="22"/>
        </w:rPr>
        <w:t xml:space="preserve">on </w:t>
      </w:r>
      <w:r w:rsidR="008C0A0E">
        <w:rPr>
          <w:rFonts w:ascii="Arial" w:eastAsia="Arial" w:hAnsi="Arial" w:cs="Arial"/>
          <w:sz w:val="22"/>
          <w:szCs w:val="22"/>
        </w:rPr>
        <w:t>Feb.</w:t>
      </w:r>
      <w:r>
        <w:rPr>
          <w:rFonts w:ascii="Arial" w:eastAsia="Arial" w:hAnsi="Arial" w:cs="Arial"/>
          <w:sz w:val="22"/>
          <w:szCs w:val="22"/>
        </w:rPr>
        <w:t xml:space="preserve"> 17. He will update webinar attendees on the latest legal developments and discuss important case law, regulatory changes, and issues producers should consider for the 2021 season.</w:t>
      </w:r>
    </w:p>
    <w:p w14:paraId="7E66F9D9" w14:textId="77777777" w:rsidR="001E685A" w:rsidRDefault="001E685A">
      <w:pPr>
        <w:rPr>
          <w:rFonts w:ascii="Arial" w:eastAsia="Arial" w:hAnsi="Arial" w:cs="Arial"/>
          <w:sz w:val="22"/>
          <w:szCs w:val="22"/>
        </w:rPr>
      </w:pPr>
    </w:p>
    <w:p w14:paraId="4F8BFA42" w14:textId="5AC33763" w:rsidR="001E685A" w:rsidRDefault="00001E52">
      <w:pPr>
        <w:rPr>
          <w:rFonts w:ascii="Arial" w:eastAsia="Arial" w:hAnsi="Arial" w:cs="Arial"/>
          <w:sz w:val="22"/>
          <w:szCs w:val="22"/>
        </w:rPr>
      </w:pPr>
      <w:r>
        <w:rPr>
          <w:rFonts w:ascii="Arial" w:eastAsia="Arial" w:hAnsi="Arial" w:cs="Arial"/>
          <w:sz w:val="22"/>
          <w:szCs w:val="22"/>
        </w:rPr>
        <w:t>“Grant is an expert in the field of federal crop insurance,” NALC Director Harrison Pittman</w:t>
      </w:r>
      <w:r w:rsidR="008C0A0E" w:rsidRPr="008C0A0E">
        <w:rPr>
          <w:rFonts w:ascii="Arial" w:eastAsia="Arial" w:hAnsi="Arial" w:cs="Arial"/>
          <w:sz w:val="22"/>
          <w:szCs w:val="22"/>
        </w:rPr>
        <w:t xml:space="preserve"> </w:t>
      </w:r>
      <w:r w:rsidR="008C0A0E">
        <w:rPr>
          <w:rFonts w:ascii="Arial" w:eastAsia="Arial" w:hAnsi="Arial" w:cs="Arial"/>
          <w:sz w:val="22"/>
          <w:szCs w:val="22"/>
        </w:rPr>
        <w:t>said</w:t>
      </w:r>
      <w:r>
        <w:rPr>
          <w:rFonts w:ascii="Arial" w:eastAsia="Arial" w:hAnsi="Arial" w:cs="Arial"/>
          <w:sz w:val="22"/>
          <w:szCs w:val="22"/>
        </w:rPr>
        <w:t>. “This webinar will be a great tool to help our stakeholders navigate this field in 2021.”</w:t>
      </w:r>
    </w:p>
    <w:p w14:paraId="480C9CB4" w14:textId="77777777" w:rsidR="001E685A" w:rsidRDefault="001E685A">
      <w:pPr>
        <w:rPr>
          <w:rFonts w:ascii="Arial" w:eastAsia="Arial" w:hAnsi="Arial" w:cs="Arial"/>
          <w:sz w:val="22"/>
          <w:szCs w:val="22"/>
        </w:rPr>
      </w:pPr>
    </w:p>
    <w:p w14:paraId="26E4805B" w14:textId="69822BA2" w:rsidR="001E685A" w:rsidRDefault="00001E52">
      <w:pPr>
        <w:rPr>
          <w:rFonts w:ascii="Arial" w:eastAsia="Arial" w:hAnsi="Arial" w:cs="Arial"/>
          <w:sz w:val="22"/>
          <w:szCs w:val="22"/>
        </w:rPr>
      </w:pPr>
      <w:r>
        <w:rPr>
          <w:rFonts w:ascii="Arial" w:eastAsia="Arial" w:hAnsi="Arial" w:cs="Arial"/>
          <w:sz w:val="22"/>
          <w:szCs w:val="22"/>
        </w:rPr>
        <w:t xml:space="preserve">The webinar is scheduled for noon EST/11 a.m. CST. Those interested can register free of charge </w:t>
      </w:r>
      <w:r w:rsidR="008C0A0E">
        <w:rPr>
          <w:rFonts w:ascii="Arial" w:eastAsia="Arial" w:hAnsi="Arial" w:cs="Arial"/>
          <w:sz w:val="22"/>
          <w:szCs w:val="22"/>
        </w:rPr>
        <w:t>at</w:t>
      </w:r>
      <w:r>
        <w:rPr>
          <w:rFonts w:ascii="Arial" w:eastAsia="Arial" w:hAnsi="Arial" w:cs="Arial"/>
          <w:sz w:val="22"/>
          <w:szCs w:val="22"/>
        </w:rPr>
        <w:t xml:space="preserve"> </w:t>
      </w:r>
      <w:hyperlink r:id="rId11">
        <w:r>
          <w:rPr>
            <w:rFonts w:ascii="Arial" w:eastAsia="Arial" w:hAnsi="Arial" w:cs="Arial"/>
            <w:color w:val="0563C1"/>
            <w:sz w:val="22"/>
            <w:szCs w:val="22"/>
            <w:u w:val="single"/>
          </w:rPr>
          <w:t>https://bit.ly/2JRlfof</w:t>
        </w:r>
      </w:hyperlink>
      <w:r w:rsidR="008C0A0E">
        <w:t>.</w:t>
      </w:r>
    </w:p>
    <w:p w14:paraId="271CEA2B" w14:textId="77777777" w:rsidR="001E685A" w:rsidRDefault="001E685A"/>
    <w:p w14:paraId="1B503590" w14:textId="41D0E082" w:rsidR="001E685A" w:rsidRDefault="00001E52">
      <w:pPr>
        <w:tabs>
          <w:tab w:val="left" w:pos="1990"/>
        </w:tabs>
        <w:rPr>
          <w:rFonts w:ascii="Arial" w:eastAsia="Arial" w:hAnsi="Arial" w:cs="Arial"/>
          <w:sz w:val="22"/>
          <w:szCs w:val="22"/>
        </w:rPr>
      </w:pPr>
      <w:r>
        <w:rPr>
          <w:rFonts w:ascii="Arial" w:eastAsia="Arial" w:hAnsi="Arial" w:cs="Arial"/>
          <w:sz w:val="22"/>
          <w:szCs w:val="22"/>
        </w:rPr>
        <w:t xml:space="preserve">For more information on the National Agricultural Law Center, visit </w:t>
      </w:r>
      <w:hyperlink r:id="rId12">
        <w:r>
          <w:rPr>
            <w:rFonts w:ascii="Arial" w:eastAsia="Arial" w:hAnsi="Arial" w:cs="Arial"/>
            <w:color w:val="0563C1"/>
            <w:sz w:val="22"/>
            <w:szCs w:val="22"/>
            <w:u w:val="single"/>
          </w:rPr>
          <w:t>https://nationalaglawcenter.org/</w:t>
        </w:r>
      </w:hyperlink>
      <w:r>
        <w:rPr>
          <w:rFonts w:ascii="Arial" w:eastAsia="Arial" w:hAnsi="Arial" w:cs="Arial"/>
          <w:color w:val="0563C1"/>
          <w:sz w:val="22"/>
          <w:szCs w:val="22"/>
        </w:rPr>
        <w:t xml:space="preserve"> </w:t>
      </w:r>
      <w:r>
        <w:rPr>
          <w:rFonts w:ascii="Arial" w:eastAsia="Arial" w:hAnsi="Arial" w:cs="Arial"/>
          <w:color w:val="000000"/>
          <w:sz w:val="22"/>
          <w:szCs w:val="22"/>
        </w:rPr>
        <w:t xml:space="preserve">or follow </w:t>
      </w:r>
      <w:hyperlink r:id="rId13">
        <w:r>
          <w:rPr>
            <w:rFonts w:ascii="Arial" w:eastAsia="Arial" w:hAnsi="Arial" w:cs="Arial"/>
            <w:color w:val="0563C1"/>
            <w:sz w:val="22"/>
            <w:szCs w:val="22"/>
            <w:u w:val="single"/>
          </w:rPr>
          <w:t>@Nataglaw</w:t>
        </w:r>
      </w:hyperlink>
      <w:r>
        <w:rPr>
          <w:rFonts w:ascii="Arial" w:eastAsia="Arial" w:hAnsi="Arial" w:cs="Arial"/>
          <w:color w:val="000000"/>
          <w:sz w:val="22"/>
          <w:szCs w:val="22"/>
        </w:rPr>
        <w:t xml:space="preserve"> on Twitter.</w:t>
      </w:r>
      <w:r>
        <w:rPr>
          <w:rFonts w:ascii="Arial" w:eastAsia="Arial" w:hAnsi="Arial" w:cs="Arial"/>
          <w:color w:val="000000"/>
          <w:sz w:val="22"/>
          <w:szCs w:val="22"/>
          <w:u w:val="single"/>
        </w:rPr>
        <w:t xml:space="preserve"> </w:t>
      </w:r>
    </w:p>
    <w:p w14:paraId="6F2382CB" w14:textId="77777777" w:rsidR="001E685A" w:rsidRDefault="001E685A">
      <w:pPr>
        <w:rPr>
          <w:rFonts w:ascii="Arial" w:eastAsia="Arial" w:hAnsi="Arial" w:cs="Arial"/>
          <w:sz w:val="22"/>
          <w:szCs w:val="22"/>
        </w:rPr>
      </w:pPr>
    </w:p>
    <w:p w14:paraId="405D8967" w14:textId="77777777" w:rsidR="001E685A" w:rsidRDefault="00001E52">
      <w:pPr>
        <w:rPr>
          <w:sz w:val="22"/>
          <w:szCs w:val="22"/>
        </w:rPr>
      </w:pPr>
      <w:r>
        <w:rPr>
          <w:rFonts w:ascii="Arial" w:eastAsia="Arial" w:hAnsi="Arial" w:cs="Arial"/>
          <w:b/>
          <w:sz w:val="22"/>
          <w:szCs w:val="22"/>
        </w:rPr>
        <w:t>About the National Agricultural Law Center</w:t>
      </w:r>
    </w:p>
    <w:p w14:paraId="5F6CFE5F" w14:textId="77777777" w:rsidR="001E685A" w:rsidRDefault="00001E52">
      <w:pPr>
        <w:pBdr>
          <w:top w:val="nil"/>
          <w:left w:val="nil"/>
          <w:bottom w:val="nil"/>
          <w:right w:val="nil"/>
          <w:between w:val="nil"/>
        </w:pBdr>
        <w:shd w:val="clear" w:color="auto" w:fill="FFFFFF"/>
        <w:spacing w:after="240"/>
        <w:rPr>
          <w:rFonts w:ascii="Arial" w:eastAsia="Arial" w:hAnsi="Arial" w:cs="Arial"/>
          <w:color w:val="000000"/>
          <w:sz w:val="22"/>
          <w:szCs w:val="22"/>
        </w:rPr>
      </w:pPr>
      <w:r>
        <w:rPr>
          <w:rFonts w:ascii="Arial" w:eastAsia="Arial" w:hAnsi="Arial" w:cs="Arial"/>
          <w:color w:val="000000"/>
          <w:sz w:val="22"/>
          <w:szCs w:val="22"/>
        </w:rPr>
        <w:t>The National Agricultural Law Center</w:t>
      </w:r>
      <w:r>
        <w:rPr>
          <w:rFonts w:ascii="Arial" w:eastAsia="Arial" w:hAnsi="Arial" w:cs="Arial"/>
          <w:b/>
          <w:color w:val="000000"/>
          <w:sz w:val="22"/>
          <w:szCs w:val="22"/>
        </w:rPr>
        <w:t> </w:t>
      </w:r>
      <w:r>
        <w:rPr>
          <w:rFonts w:ascii="Arial" w:eastAsia="Arial" w:hAnsi="Arial" w:cs="Arial"/>
          <w:color w:val="000000"/>
          <w:sz w:val="22"/>
          <w:szCs w:val="22"/>
        </w:rPr>
        <w:t xml:space="preserve">serves as the nation’s leading source of agricultural and food law research and information. The Center works with producers, state and federal policymakers, Congressional staffers, attorneys, land grant universities, and many others to </w:t>
      </w:r>
      <w:r>
        <w:rPr>
          <w:rFonts w:ascii="Arial" w:eastAsia="Arial" w:hAnsi="Arial" w:cs="Arial"/>
          <w:color w:val="000000"/>
          <w:sz w:val="22"/>
          <w:szCs w:val="22"/>
        </w:rPr>
        <w:lastRenderedPageBreak/>
        <w:t>provide objective, nonpartisan agricultural and food law research and information to the nation’s agricultural community.</w:t>
      </w:r>
    </w:p>
    <w:p w14:paraId="73676710" w14:textId="77777777" w:rsidR="001E685A" w:rsidRDefault="00001E52">
      <w:pPr>
        <w:pBdr>
          <w:top w:val="nil"/>
          <w:left w:val="nil"/>
          <w:bottom w:val="nil"/>
          <w:right w:val="nil"/>
          <w:between w:val="nil"/>
        </w:pBdr>
        <w:shd w:val="clear" w:color="auto" w:fill="FFFFFF"/>
        <w:spacing w:after="240"/>
        <w:rPr>
          <w:rFonts w:ascii="Arial" w:eastAsia="Arial" w:hAnsi="Arial" w:cs="Arial"/>
          <w:color w:val="000000"/>
          <w:sz w:val="22"/>
          <w:szCs w:val="22"/>
        </w:rPr>
      </w:pPr>
      <w:r>
        <w:rPr>
          <w:rFonts w:ascii="Arial" w:eastAsia="Arial" w:hAnsi="Arial" w:cs="Arial"/>
          <w:color w:val="000000"/>
          <w:sz w:val="22"/>
          <w:szCs w:val="22"/>
        </w:rPr>
        <w:t>The Center is a unit of the University of Arkansas System Division of Agriculture and works in close partnership with the USDA Agricultural Research Service, National Agricultural Library.</w:t>
      </w:r>
    </w:p>
    <w:p w14:paraId="60E9C7DF" w14:textId="77777777" w:rsidR="001E685A" w:rsidRDefault="00001E52">
      <w:pPr>
        <w:rPr>
          <w:rFonts w:ascii="Arial" w:eastAsia="Arial" w:hAnsi="Arial" w:cs="Arial"/>
          <w:b/>
          <w:sz w:val="22"/>
          <w:szCs w:val="22"/>
        </w:rPr>
      </w:pPr>
      <w:r>
        <w:rPr>
          <w:rFonts w:ascii="Arial" w:eastAsia="Arial" w:hAnsi="Arial" w:cs="Arial"/>
          <w:b/>
          <w:sz w:val="22"/>
          <w:szCs w:val="22"/>
        </w:rPr>
        <w:t xml:space="preserve">About the Division of Agriculture </w:t>
      </w:r>
    </w:p>
    <w:p w14:paraId="03A5A7FB" w14:textId="77777777" w:rsidR="001E685A" w:rsidRDefault="00001E52">
      <w:pPr>
        <w:rPr>
          <w:rFonts w:ascii="Arial" w:eastAsia="Arial" w:hAnsi="Arial" w:cs="Arial"/>
          <w:sz w:val="22"/>
          <w:szCs w:val="22"/>
        </w:rPr>
      </w:pPr>
      <w:r>
        <w:rPr>
          <w:rFonts w:ascii="Arial" w:eastAsia="Arial" w:hAnsi="Arial" w:cs="Arial"/>
          <w:sz w:val="22"/>
          <w:szCs w:val="22"/>
        </w:rPr>
        <w:t xml:space="preserve">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 </w:t>
      </w:r>
    </w:p>
    <w:p w14:paraId="052A063A" w14:textId="77777777" w:rsidR="001E685A" w:rsidRDefault="001E685A">
      <w:pPr>
        <w:rPr>
          <w:rFonts w:ascii="Arial" w:eastAsia="Arial" w:hAnsi="Arial" w:cs="Arial"/>
          <w:sz w:val="22"/>
          <w:szCs w:val="22"/>
        </w:rPr>
      </w:pPr>
    </w:p>
    <w:p w14:paraId="383DA1D5" w14:textId="77777777" w:rsidR="001E685A" w:rsidRDefault="00001E52">
      <w:pPr>
        <w:rPr>
          <w:rFonts w:ascii="Arial" w:eastAsia="Arial" w:hAnsi="Arial" w:cs="Arial"/>
          <w:sz w:val="22"/>
          <w:szCs w:val="22"/>
        </w:rPr>
      </w:pPr>
      <w:r>
        <w:rPr>
          <w:rFonts w:ascii="Arial" w:eastAsia="Arial" w:hAnsi="Arial" w:cs="Arial"/>
          <w:sz w:val="22"/>
          <w:szCs w:val="22"/>
        </w:rPr>
        <w:t xml:space="preserve">The Division of Agriculture is one of 20 entities within the University of Arkansas System. It has offices in all 75 counties in Arkansas and faculty on five system campuses.  </w:t>
      </w:r>
    </w:p>
    <w:p w14:paraId="2F763C26" w14:textId="77777777" w:rsidR="001E685A" w:rsidRDefault="001E685A">
      <w:pPr>
        <w:rPr>
          <w:rFonts w:ascii="Arial" w:eastAsia="Arial" w:hAnsi="Arial" w:cs="Arial"/>
          <w:sz w:val="22"/>
          <w:szCs w:val="22"/>
        </w:rPr>
      </w:pPr>
    </w:p>
    <w:p w14:paraId="65EE5A7D" w14:textId="77777777" w:rsidR="001E685A" w:rsidRDefault="00001E52">
      <w:pPr>
        <w:rPr>
          <w:rFonts w:ascii="Arial" w:eastAsia="Arial" w:hAnsi="Arial" w:cs="Arial"/>
          <w:sz w:val="22"/>
          <w:szCs w:val="22"/>
        </w:rPr>
      </w:pPr>
      <w:r>
        <w:rPr>
          <w:rFonts w:ascii="Arial" w:eastAsia="Arial" w:hAnsi="Arial" w:cs="Arial"/>
          <w:sz w:val="22"/>
          <w:szCs w:val="22"/>
        </w:rPr>
        <w:t>The University of Arkansas System Division of Agriculture is an equal opportunity/equal access/affirmative action institution. If you require a reasonable accommodation to participate or need materials in another format, please contact 479-575-4607 as soon as possible. Dial 711 for Arkansas Relay. </w:t>
      </w:r>
    </w:p>
    <w:p w14:paraId="041261B4" w14:textId="77777777" w:rsidR="001E685A" w:rsidRDefault="001E685A">
      <w:pPr>
        <w:rPr>
          <w:rFonts w:ascii="Arial" w:eastAsia="Arial" w:hAnsi="Arial" w:cs="Arial"/>
          <w:sz w:val="22"/>
          <w:szCs w:val="22"/>
        </w:rPr>
      </w:pPr>
    </w:p>
    <w:p w14:paraId="503AE645" w14:textId="77777777" w:rsidR="001E685A" w:rsidRDefault="00001E52">
      <w:pPr>
        <w:jc w:val="center"/>
        <w:rPr>
          <w:rFonts w:ascii="Arial" w:eastAsia="Arial" w:hAnsi="Arial" w:cs="Arial"/>
          <w:sz w:val="22"/>
          <w:szCs w:val="22"/>
        </w:rPr>
      </w:pPr>
      <w:r>
        <w:rPr>
          <w:rFonts w:ascii="Arial" w:eastAsia="Arial" w:hAnsi="Arial" w:cs="Arial"/>
          <w:sz w:val="22"/>
          <w:szCs w:val="22"/>
        </w:rPr>
        <w:t># # #</w:t>
      </w:r>
    </w:p>
    <w:p w14:paraId="7EA0C186" w14:textId="77777777" w:rsidR="001E685A" w:rsidRDefault="001E685A">
      <w:pPr>
        <w:rPr>
          <w:rFonts w:ascii="Arial" w:eastAsia="Arial" w:hAnsi="Arial" w:cs="Arial"/>
          <w:sz w:val="22"/>
          <w:szCs w:val="22"/>
        </w:rPr>
      </w:pPr>
    </w:p>
    <w:p w14:paraId="782D376C" w14:textId="77777777" w:rsidR="001E685A" w:rsidRDefault="001E685A">
      <w:pPr>
        <w:rPr>
          <w:rFonts w:ascii="Arial" w:eastAsia="Arial" w:hAnsi="Arial" w:cs="Arial"/>
          <w:sz w:val="22"/>
          <w:szCs w:val="22"/>
        </w:rPr>
      </w:pPr>
    </w:p>
    <w:p w14:paraId="79B43346" w14:textId="77777777" w:rsidR="001E685A" w:rsidRDefault="001E685A">
      <w:pPr>
        <w:rPr>
          <w:rFonts w:ascii="Arial" w:eastAsia="Arial" w:hAnsi="Arial" w:cs="Arial"/>
          <w:sz w:val="22"/>
          <w:szCs w:val="22"/>
        </w:rPr>
      </w:pPr>
    </w:p>
    <w:p w14:paraId="79C8FA8E" w14:textId="77777777" w:rsidR="003F5F74" w:rsidRDefault="003F5F74">
      <w:pPr>
        <w:rPr>
          <w:rFonts w:ascii="Arial" w:eastAsia="Arial" w:hAnsi="Arial" w:cs="Arial"/>
          <w:sz w:val="22"/>
          <w:szCs w:val="22"/>
        </w:rPr>
      </w:pPr>
    </w:p>
    <w:sectPr w:rsidR="003F5F74">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00D96" w14:textId="77777777" w:rsidR="00F81885" w:rsidRDefault="00F81885">
      <w:r>
        <w:separator/>
      </w:r>
    </w:p>
  </w:endnote>
  <w:endnote w:type="continuationSeparator" w:id="0">
    <w:p w14:paraId="76DDFF12" w14:textId="77777777" w:rsidR="00F81885" w:rsidRDefault="00F8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A966B" w14:textId="77777777" w:rsidR="00F81885" w:rsidRDefault="00F81885">
      <w:r>
        <w:separator/>
      </w:r>
    </w:p>
  </w:footnote>
  <w:footnote w:type="continuationSeparator" w:id="0">
    <w:p w14:paraId="3C023A2D" w14:textId="77777777" w:rsidR="00F81885" w:rsidRDefault="00F8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00AA" w14:textId="77777777" w:rsidR="001E685A" w:rsidRDefault="00001E52">
    <w:r>
      <w:rPr>
        <w:rFonts w:ascii="Arial" w:eastAsia="Arial" w:hAnsi="Arial" w:cs="Arial"/>
        <w:noProof/>
        <w:sz w:val="22"/>
        <w:szCs w:val="22"/>
      </w:rPr>
      <w:drawing>
        <wp:anchor distT="0" distB="0" distL="0" distR="0" simplePos="0" relativeHeight="251658240" behindDoc="0" locked="0" layoutInCell="1" hidden="0" allowOverlap="1" wp14:anchorId="19214474" wp14:editId="2C4BDCCD">
          <wp:simplePos x="0" y="0"/>
          <wp:positionH relativeFrom="page">
            <wp:posOffset>5467350</wp:posOffset>
          </wp:positionH>
          <wp:positionV relativeFrom="page">
            <wp:posOffset>128290</wp:posOffset>
          </wp:positionV>
          <wp:extent cx="1161415" cy="1108075"/>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1415" cy="1108075"/>
                  </a:xfrm>
                  <a:prstGeom prst="rect">
                    <a:avLst/>
                  </a:prstGeom>
                  <a:ln/>
                </pic:spPr>
              </pic:pic>
            </a:graphicData>
          </a:graphic>
        </wp:anchor>
      </w:drawing>
    </w:r>
    <w:r>
      <w:rPr>
        <w:rFonts w:ascii="Arial" w:eastAsia="Arial" w:hAnsi="Arial" w:cs="Arial"/>
        <w:noProof/>
        <w:sz w:val="22"/>
        <w:szCs w:val="22"/>
      </w:rPr>
      <w:drawing>
        <wp:inline distT="114300" distB="114300" distL="114300" distR="114300" wp14:anchorId="756262F6" wp14:editId="5A7B63F0">
          <wp:extent cx="2728913" cy="52041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728913" cy="5204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935AC"/>
    <w:multiLevelType w:val="multilevel"/>
    <w:tmpl w:val="A62E9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85A"/>
    <w:rsid w:val="00001E52"/>
    <w:rsid w:val="001E685A"/>
    <w:rsid w:val="003F5F74"/>
    <w:rsid w:val="00507DE1"/>
    <w:rsid w:val="008C0A0E"/>
    <w:rsid w:val="00984BBF"/>
    <w:rsid w:val="00EB32FB"/>
    <w:rsid w:val="00F8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ECB906"/>
  <w15:docId w15:val="{96AAD351-22BC-CF46-B760-C43E7EA8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76FEB"/>
    <w:rPr>
      <w:color w:val="0563C1" w:themeColor="hyperlink"/>
      <w:u w:val="single"/>
    </w:rPr>
  </w:style>
  <w:style w:type="character" w:customStyle="1" w:styleId="UnresolvedMention1">
    <w:name w:val="Unresolved Mention1"/>
    <w:basedOn w:val="DefaultParagraphFont"/>
    <w:uiPriority w:val="99"/>
    <w:rsid w:val="00376FEB"/>
    <w:rPr>
      <w:color w:val="605E5C"/>
      <w:shd w:val="clear" w:color="auto" w:fill="E1DFDD"/>
    </w:rPr>
  </w:style>
  <w:style w:type="paragraph" w:styleId="ListParagraph">
    <w:name w:val="List Paragraph"/>
    <w:basedOn w:val="Normal"/>
    <w:uiPriority w:val="34"/>
    <w:qFormat/>
    <w:rsid w:val="00376FEB"/>
    <w:pPr>
      <w:ind w:left="720"/>
      <w:contextualSpacing/>
    </w:pPr>
  </w:style>
  <w:style w:type="paragraph" w:styleId="NormalWeb">
    <w:name w:val="Normal (Web)"/>
    <w:basedOn w:val="Normal"/>
    <w:uiPriority w:val="99"/>
    <w:unhideWhenUsed/>
    <w:rsid w:val="00A14EF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14EF1"/>
    <w:rPr>
      <w:b/>
      <w:bCs/>
    </w:rPr>
  </w:style>
  <w:style w:type="character" w:styleId="FollowedHyperlink">
    <w:name w:val="FollowedHyperlink"/>
    <w:basedOn w:val="DefaultParagraphFont"/>
    <w:uiPriority w:val="99"/>
    <w:semiHidden/>
    <w:unhideWhenUsed/>
    <w:rsid w:val="00AC4F7B"/>
    <w:rPr>
      <w:color w:val="954F72" w:themeColor="followedHyperlink"/>
      <w:u w:val="single"/>
    </w:rPr>
  </w:style>
  <w:style w:type="character" w:styleId="CommentReference">
    <w:name w:val="annotation reference"/>
    <w:basedOn w:val="DefaultParagraphFont"/>
    <w:uiPriority w:val="99"/>
    <w:semiHidden/>
    <w:unhideWhenUsed/>
    <w:rsid w:val="00741423"/>
    <w:rPr>
      <w:sz w:val="16"/>
      <w:szCs w:val="16"/>
    </w:rPr>
  </w:style>
  <w:style w:type="paragraph" w:styleId="CommentText">
    <w:name w:val="annotation text"/>
    <w:basedOn w:val="Normal"/>
    <w:link w:val="CommentTextChar"/>
    <w:uiPriority w:val="99"/>
    <w:semiHidden/>
    <w:unhideWhenUsed/>
    <w:rsid w:val="00741423"/>
    <w:rPr>
      <w:sz w:val="20"/>
      <w:szCs w:val="20"/>
    </w:rPr>
  </w:style>
  <w:style w:type="character" w:customStyle="1" w:styleId="CommentTextChar">
    <w:name w:val="Comment Text Char"/>
    <w:basedOn w:val="DefaultParagraphFont"/>
    <w:link w:val="CommentText"/>
    <w:uiPriority w:val="99"/>
    <w:semiHidden/>
    <w:rsid w:val="00741423"/>
    <w:rPr>
      <w:sz w:val="20"/>
      <w:szCs w:val="20"/>
    </w:rPr>
  </w:style>
  <w:style w:type="paragraph" w:styleId="CommentSubject">
    <w:name w:val="annotation subject"/>
    <w:basedOn w:val="CommentText"/>
    <w:next w:val="CommentText"/>
    <w:link w:val="CommentSubjectChar"/>
    <w:uiPriority w:val="99"/>
    <w:semiHidden/>
    <w:unhideWhenUsed/>
    <w:rsid w:val="00741423"/>
    <w:rPr>
      <w:b/>
      <w:bCs/>
    </w:rPr>
  </w:style>
  <w:style w:type="character" w:customStyle="1" w:styleId="CommentSubjectChar">
    <w:name w:val="Comment Subject Char"/>
    <w:basedOn w:val="CommentTextChar"/>
    <w:link w:val="CommentSubject"/>
    <w:uiPriority w:val="99"/>
    <w:semiHidden/>
    <w:rsid w:val="00741423"/>
    <w:rPr>
      <w:b/>
      <w:bCs/>
      <w:sz w:val="20"/>
      <w:szCs w:val="20"/>
    </w:rPr>
  </w:style>
  <w:style w:type="paragraph" w:styleId="BalloonText">
    <w:name w:val="Balloon Text"/>
    <w:basedOn w:val="Normal"/>
    <w:link w:val="BalloonTextChar"/>
    <w:uiPriority w:val="99"/>
    <w:semiHidden/>
    <w:unhideWhenUsed/>
    <w:rsid w:val="00741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423"/>
    <w:rPr>
      <w:rFonts w:ascii="Segoe UI" w:hAnsi="Segoe UI" w:cs="Segoe UI"/>
      <w:sz w:val="18"/>
      <w:szCs w:val="18"/>
    </w:rPr>
  </w:style>
  <w:style w:type="paragraph" w:styleId="FootnoteText">
    <w:name w:val="footnote text"/>
    <w:basedOn w:val="Normal"/>
    <w:link w:val="FootnoteTextChar"/>
    <w:uiPriority w:val="99"/>
    <w:semiHidden/>
    <w:unhideWhenUsed/>
    <w:rsid w:val="00C72FE0"/>
    <w:rPr>
      <w:sz w:val="20"/>
      <w:szCs w:val="20"/>
    </w:rPr>
  </w:style>
  <w:style w:type="character" w:customStyle="1" w:styleId="FootnoteTextChar">
    <w:name w:val="Footnote Text Char"/>
    <w:basedOn w:val="DefaultParagraphFont"/>
    <w:link w:val="FootnoteText"/>
    <w:uiPriority w:val="99"/>
    <w:semiHidden/>
    <w:rsid w:val="00C72FE0"/>
    <w:rPr>
      <w:sz w:val="20"/>
      <w:szCs w:val="20"/>
    </w:rPr>
  </w:style>
  <w:style w:type="character" w:styleId="FootnoteReference">
    <w:name w:val="footnote reference"/>
    <w:basedOn w:val="DefaultParagraphFont"/>
    <w:uiPriority w:val="99"/>
    <w:semiHidden/>
    <w:unhideWhenUsed/>
    <w:rsid w:val="00C72FE0"/>
    <w:rPr>
      <w:vertAlign w:val="superscript"/>
    </w:rPr>
  </w:style>
  <w:style w:type="character" w:customStyle="1" w:styleId="UnresolvedMention2">
    <w:name w:val="Unresolved Mention2"/>
    <w:basedOn w:val="DefaultParagraphFont"/>
    <w:uiPriority w:val="99"/>
    <w:semiHidden/>
    <w:unhideWhenUsed/>
    <w:rsid w:val="009E61AC"/>
    <w:rPr>
      <w:color w:val="605E5C"/>
      <w:shd w:val="clear" w:color="auto" w:fill="E1DFDD"/>
    </w:rPr>
  </w:style>
  <w:style w:type="character" w:customStyle="1" w:styleId="apple-converted-space">
    <w:name w:val="apple-converted-space"/>
    <w:basedOn w:val="DefaultParagraphFont"/>
    <w:rsid w:val="005E50F1"/>
  </w:style>
  <w:style w:type="paragraph" w:customStyle="1" w:styleId="xmsonormal">
    <w:name w:val="x_msonormal"/>
    <w:basedOn w:val="Normal"/>
    <w:rsid w:val="00360E97"/>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B3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wwc001@uark.edu" TargetMode="External"/><Relationship Id="rId13" Type="http://schemas.openxmlformats.org/officeDocument/2006/relationships/hyperlink" Target="https://twitter.com/natag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tionalaglawcent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JRlfo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lic.kr/p/Dbc1fj" TargetMode="External"/><Relationship Id="rId4" Type="http://schemas.openxmlformats.org/officeDocument/2006/relationships/settings" Target="settings.xml"/><Relationship Id="rId9" Type="http://schemas.openxmlformats.org/officeDocument/2006/relationships/hyperlink" Target="https://bit.ly/2JRlfo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OFH8XeYkUASkwp2zBzMfNA8UQ==">AMUW2mUrM8j9KP+tHCTHrInDweq3x8noZ+RixbCdYnWl8r0VAXs/NLblA0WpXet7BHUQOn18a3/zc3ENbR7+g6LQDUT0iZVV1nhFcdy2uor/4x8axizy1sU8WKDLIQZlnvYtIYC/3J5T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Hightower</dc:creator>
  <cp:lastModifiedBy>Ryan McGeeney</cp:lastModifiedBy>
  <cp:revision>5</cp:revision>
  <dcterms:created xsi:type="dcterms:W3CDTF">2021-02-05T14:23:00Z</dcterms:created>
  <dcterms:modified xsi:type="dcterms:W3CDTF">2021-02-05T14:31:00Z</dcterms:modified>
</cp:coreProperties>
</file>