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57DB" w14:textId="77777777" w:rsidR="00595F29" w:rsidRDefault="00595F29" w:rsidP="000051D8">
      <w:pPr>
        <w:shd w:val="clear" w:color="auto" w:fill="FFFFFF"/>
        <w:spacing w:after="0" w:line="240" w:lineRule="auto"/>
        <w:jc w:val="center"/>
        <w:rPr>
          <w:rFonts w:ascii="Cambria" w:eastAsia="Times New Roman" w:hAnsi="Cambria" w:cs="Times New Roman"/>
          <w:b/>
          <w:sz w:val="28"/>
          <w:szCs w:val="28"/>
        </w:rPr>
      </w:pPr>
    </w:p>
    <w:p w14:paraId="48738591" w14:textId="6AB60655" w:rsidR="00595F29" w:rsidRDefault="00595F29" w:rsidP="000051D8">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641DDE31" wp14:editId="0C32514F">
            <wp:extent cx="3111044" cy="5916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color-left-med.png"/>
                    <pic:cNvPicPr/>
                  </pic:nvPicPr>
                  <pic:blipFill>
                    <a:blip r:embed="rId8">
                      <a:extLst>
                        <a:ext uri="{28A0092B-C50C-407E-A947-70E740481C1C}">
                          <a14:useLocalDpi xmlns:a14="http://schemas.microsoft.com/office/drawing/2010/main" val="0"/>
                        </a:ext>
                      </a:extLst>
                    </a:blip>
                    <a:stretch>
                      <a:fillRect/>
                    </a:stretch>
                  </pic:blipFill>
                  <pic:spPr>
                    <a:xfrm>
                      <a:off x="0" y="0"/>
                      <a:ext cx="3161758" cy="601316"/>
                    </a:xfrm>
                    <a:prstGeom prst="rect">
                      <a:avLst/>
                    </a:prstGeom>
                  </pic:spPr>
                </pic:pic>
              </a:graphicData>
            </a:graphic>
          </wp:inline>
        </w:drawing>
      </w:r>
    </w:p>
    <w:p w14:paraId="7F396E5F" w14:textId="77777777" w:rsidR="00595F29" w:rsidRDefault="00595F29" w:rsidP="000051D8">
      <w:pPr>
        <w:shd w:val="clear" w:color="auto" w:fill="FFFFFF"/>
        <w:spacing w:after="0" w:line="240" w:lineRule="auto"/>
        <w:jc w:val="center"/>
        <w:rPr>
          <w:rFonts w:ascii="Cambria" w:eastAsia="Times New Roman" w:hAnsi="Cambria" w:cs="Times New Roman"/>
          <w:b/>
          <w:sz w:val="28"/>
          <w:szCs w:val="28"/>
        </w:rPr>
      </w:pPr>
    </w:p>
    <w:p w14:paraId="5BDAC14C" w14:textId="77777777" w:rsidR="00595F29" w:rsidRDefault="00595F29" w:rsidP="000051D8">
      <w:pPr>
        <w:shd w:val="clear" w:color="auto" w:fill="FFFFFF"/>
        <w:spacing w:after="0" w:line="240" w:lineRule="auto"/>
        <w:jc w:val="center"/>
        <w:rPr>
          <w:rFonts w:ascii="Cambria" w:eastAsia="Times New Roman" w:hAnsi="Cambria" w:cs="Times New Roman"/>
          <w:b/>
          <w:sz w:val="28"/>
          <w:szCs w:val="28"/>
        </w:rPr>
      </w:pPr>
    </w:p>
    <w:p w14:paraId="40CBF66B" w14:textId="594C36AF" w:rsidR="000051D8" w:rsidRPr="00595F29" w:rsidRDefault="000051D8" w:rsidP="000051D8">
      <w:pPr>
        <w:shd w:val="clear" w:color="auto" w:fill="FFFFFF"/>
        <w:spacing w:after="0" w:line="240" w:lineRule="auto"/>
        <w:jc w:val="center"/>
        <w:rPr>
          <w:rFonts w:ascii="Cambria" w:eastAsia="Times New Roman" w:hAnsi="Cambria" w:cs="Times New Roman"/>
          <w:b/>
          <w:sz w:val="28"/>
          <w:szCs w:val="28"/>
        </w:rPr>
      </w:pPr>
      <w:r w:rsidRPr="00595F29">
        <w:rPr>
          <w:rFonts w:ascii="Cambria" w:eastAsia="Times New Roman" w:hAnsi="Cambria" w:cs="Times New Roman"/>
          <w:b/>
          <w:sz w:val="28"/>
          <w:szCs w:val="28"/>
        </w:rPr>
        <w:t>COVID-19 Impacts on Arkansas’ Agricultural and Rural Economies</w:t>
      </w:r>
    </w:p>
    <w:p w14:paraId="6BB94847"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p>
    <w:p w14:paraId="3E16AABA" w14:textId="77777777" w:rsidR="000051D8" w:rsidRPr="00595F29" w:rsidRDefault="000051D8" w:rsidP="000051D8">
      <w:pPr>
        <w:shd w:val="clear" w:color="auto" w:fill="FFFFFF"/>
        <w:spacing w:after="0" w:line="240" w:lineRule="auto"/>
        <w:jc w:val="center"/>
        <w:rPr>
          <w:rFonts w:ascii="Cambria" w:eastAsia="Times New Roman" w:hAnsi="Cambria" w:cs="Times New Roman"/>
          <w:b/>
          <w:sz w:val="48"/>
          <w:szCs w:val="48"/>
        </w:rPr>
      </w:pPr>
    </w:p>
    <w:p w14:paraId="06A080CF" w14:textId="77777777" w:rsidR="000051D8" w:rsidRPr="00595F29" w:rsidRDefault="000051D8" w:rsidP="000051D8">
      <w:pPr>
        <w:shd w:val="clear" w:color="auto" w:fill="FFFFFF"/>
        <w:spacing w:after="0" w:line="240" w:lineRule="auto"/>
        <w:jc w:val="center"/>
        <w:rPr>
          <w:rFonts w:ascii="Cambria" w:eastAsia="Times New Roman" w:hAnsi="Cambria" w:cs="Times New Roman"/>
          <w:b/>
          <w:sz w:val="48"/>
          <w:szCs w:val="48"/>
        </w:rPr>
      </w:pPr>
      <w:r w:rsidRPr="00595F29">
        <w:rPr>
          <w:rFonts w:ascii="Cambria" w:eastAsia="Times New Roman" w:hAnsi="Cambria" w:cs="Times New Roman"/>
          <w:b/>
          <w:sz w:val="48"/>
          <w:szCs w:val="48"/>
        </w:rPr>
        <w:t xml:space="preserve">UPDATE: </w:t>
      </w:r>
    </w:p>
    <w:p w14:paraId="567A3381" w14:textId="77777777" w:rsidR="000051D8" w:rsidRPr="00595F29" w:rsidRDefault="00356067" w:rsidP="000051D8">
      <w:pPr>
        <w:shd w:val="clear" w:color="auto" w:fill="FFFFFF"/>
        <w:spacing w:after="0" w:line="240" w:lineRule="auto"/>
        <w:jc w:val="center"/>
        <w:rPr>
          <w:rFonts w:ascii="Cambria" w:eastAsia="Times New Roman" w:hAnsi="Cambria" w:cs="Times New Roman"/>
          <w:b/>
          <w:sz w:val="48"/>
          <w:szCs w:val="48"/>
        </w:rPr>
      </w:pPr>
      <w:r w:rsidRPr="00595F29">
        <w:rPr>
          <w:rFonts w:ascii="Cambria" w:eastAsia="Times New Roman" w:hAnsi="Cambria" w:cs="Times New Roman"/>
          <w:b/>
          <w:sz w:val="48"/>
          <w:szCs w:val="48"/>
        </w:rPr>
        <w:t xml:space="preserve">July </w:t>
      </w:r>
      <w:r w:rsidRPr="00595F29">
        <w:rPr>
          <w:rFonts w:ascii="Cambria" w:eastAsia="Times New Roman" w:hAnsi="Cambria" w:cs="Times New Roman"/>
          <w:b/>
          <w:i/>
          <w:sz w:val="48"/>
          <w:szCs w:val="48"/>
        </w:rPr>
        <w:t xml:space="preserve">Employment </w:t>
      </w:r>
      <w:r w:rsidR="00747920" w:rsidRPr="00595F29">
        <w:rPr>
          <w:rFonts w:ascii="Cambria" w:eastAsia="Times New Roman" w:hAnsi="Cambria" w:cs="Times New Roman"/>
          <w:b/>
          <w:i/>
          <w:sz w:val="48"/>
          <w:szCs w:val="48"/>
        </w:rPr>
        <w:t>Situation</w:t>
      </w:r>
      <w:r w:rsidR="00747920" w:rsidRPr="00595F29">
        <w:rPr>
          <w:rFonts w:ascii="Cambria" w:eastAsia="Times New Roman" w:hAnsi="Cambria" w:cs="Times New Roman"/>
          <w:b/>
          <w:sz w:val="48"/>
          <w:szCs w:val="48"/>
        </w:rPr>
        <w:t xml:space="preserve"> </w:t>
      </w:r>
      <w:r w:rsidRPr="00595F29">
        <w:rPr>
          <w:rFonts w:ascii="Cambria" w:eastAsia="Times New Roman" w:hAnsi="Cambria" w:cs="Times New Roman"/>
          <w:b/>
          <w:sz w:val="48"/>
          <w:szCs w:val="48"/>
        </w:rPr>
        <w:t>Report</w:t>
      </w:r>
    </w:p>
    <w:p w14:paraId="2916BF72" w14:textId="77777777" w:rsidR="000051D8" w:rsidRPr="00595F29" w:rsidRDefault="000051D8" w:rsidP="000051D8">
      <w:pPr>
        <w:shd w:val="clear" w:color="auto" w:fill="FFFFFF"/>
        <w:spacing w:after="0" w:line="240" w:lineRule="auto"/>
        <w:rPr>
          <w:rFonts w:ascii="Cambria" w:eastAsia="Times New Roman" w:hAnsi="Cambria" w:cs="Times New Roman"/>
          <w:b/>
        </w:rPr>
      </w:pPr>
    </w:p>
    <w:p w14:paraId="68BB3B3F" w14:textId="77777777" w:rsidR="000051D8" w:rsidRPr="00595F29" w:rsidRDefault="000051D8" w:rsidP="000051D8">
      <w:pPr>
        <w:shd w:val="clear" w:color="auto" w:fill="FFFFFF"/>
        <w:spacing w:after="0" w:line="240" w:lineRule="auto"/>
        <w:rPr>
          <w:rFonts w:ascii="Cambria" w:eastAsia="Times New Roman" w:hAnsi="Cambria" w:cs="Times New Roman"/>
          <w:b/>
        </w:rPr>
      </w:pPr>
    </w:p>
    <w:p w14:paraId="71DCE0FC"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r w:rsidRPr="00595F29">
        <w:rPr>
          <w:rFonts w:ascii="Cambria" w:eastAsia="Times New Roman" w:hAnsi="Cambria" w:cs="Times New Roman"/>
          <w:b/>
        </w:rPr>
        <w:t>Prepared by:</w:t>
      </w:r>
    </w:p>
    <w:p w14:paraId="41B0227A"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p>
    <w:p w14:paraId="1D2770C6"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p>
    <w:p w14:paraId="0D1E163A"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r w:rsidRPr="00595F29">
        <w:rPr>
          <w:rFonts w:ascii="Cambria" w:eastAsia="Times New Roman" w:hAnsi="Cambria" w:cs="Times New Roman"/>
          <w:b/>
        </w:rPr>
        <w:t>John Anderson</w:t>
      </w:r>
    </w:p>
    <w:p w14:paraId="56476EAF"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r w:rsidRPr="00595F29">
        <w:rPr>
          <w:rFonts w:ascii="Cambria" w:eastAsia="Times New Roman" w:hAnsi="Cambria" w:cs="Times New Roman"/>
          <w:b/>
        </w:rPr>
        <w:t xml:space="preserve">Department of Agricultural Economics and Agribusiness </w:t>
      </w:r>
    </w:p>
    <w:p w14:paraId="0D6E1195"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p>
    <w:p w14:paraId="52A54B15"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p>
    <w:p w14:paraId="2A3E492F"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p>
    <w:p w14:paraId="328A60C6" w14:textId="77777777" w:rsidR="000051D8" w:rsidRPr="00595F29" w:rsidRDefault="00356067" w:rsidP="000051D8">
      <w:pPr>
        <w:shd w:val="clear" w:color="auto" w:fill="FFFFFF"/>
        <w:spacing w:after="0" w:line="240" w:lineRule="auto"/>
        <w:jc w:val="center"/>
        <w:rPr>
          <w:rFonts w:ascii="Cambria" w:eastAsia="Times New Roman" w:hAnsi="Cambria" w:cs="Times New Roman"/>
          <w:b/>
        </w:rPr>
      </w:pPr>
      <w:r w:rsidRPr="00595F29">
        <w:rPr>
          <w:rFonts w:ascii="Cambria" w:eastAsia="Times New Roman" w:hAnsi="Cambria" w:cs="Times New Roman"/>
          <w:b/>
        </w:rPr>
        <w:t>August 7</w:t>
      </w:r>
      <w:r w:rsidR="000051D8" w:rsidRPr="00595F29">
        <w:rPr>
          <w:rFonts w:ascii="Cambria" w:eastAsia="Times New Roman" w:hAnsi="Cambria" w:cs="Times New Roman"/>
          <w:b/>
        </w:rPr>
        <w:t>, 2020</w:t>
      </w:r>
    </w:p>
    <w:p w14:paraId="01AF5776" w14:textId="77777777" w:rsidR="000051D8" w:rsidRPr="00595F29" w:rsidRDefault="000051D8" w:rsidP="000051D8">
      <w:pPr>
        <w:shd w:val="clear" w:color="auto" w:fill="FFFFFF"/>
        <w:spacing w:after="0" w:line="240" w:lineRule="auto"/>
        <w:jc w:val="center"/>
        <w:rPr>
          <w:rFonts w:ascii="Cambria" w:eastAsia="Times New Roman" w:hAnsi="Cambria" w:cs="Times New Roman"/>
          <w:b/>
        </w:rPr>
      </w:pPr>
    </w:p>
    <w:p w14:paraId="3EBB00F1" w14:textId="77777777" w:rsidR="005B11ED" w:rsidRPr="00595F29" w:rsidRDefault="000051D8" w:rsidP="000051D8">
      <w:pPr>
        <w:rPr>
          <w:rFonts w:ascii="Cambria" w:hAnsi="Cambria"/>
          <w:b/>
        </w:rPr>
      </w:pPr>
      <w:r w:rsidRPr="00595F29">
        <w:rPr>
          <w:rFonts w:ascii="Cambria" w:hAnsi="Cambria"/>
        </w:rPr>
        <w:br w:type="page"/>
      </w:r>
    </w:p>
    <w:p w14:paraId="271FE470" w14:textId="77777777" w:rsidR="00DF206E" w:rsidRPr="00595F29" w:rsidRDefault="00C6622F">
      <w:pPr>
        <w:rPr>
          <w:rFonts w:ascii="Cambria" w:hAnsi="Cambria"/>
          <w:noProof/>
        </w:rPr>
      </w:pPr>
      <w:r w:rsidRPr="00595F29">
        <w:rPr>
          <w:rFonts w:ascii="Cambria" w:hAnsi="Cambria"/>
        </w:rPr>
        <w:lastRenderedPageBreak/>
        <w:t xml:space="preserve">On </w:t>
      </w:r>
      <w:r w:rsidR="00DF206E" w:rsidRPr="00595F29">
        <w:rPr>
          <w:rFonts w:ascii="Cambria" w:hAnsi="Cambria"/>
        </w:rPr>
        <w:t>August 7</w:t>
      </w:r>
      <w:r w:rsidRPr="00595F29">
        <w:rPr>
          <w:rFonts w:ascii="Cambria" w:hAnsi="Cambria"/>
        </w:rPr>
        <w:t xml:space="preserve">, the U.S. Department of </w:t>
      </w:r>
      <w:r w:rsidR="00B301CF" w:rsidRPr="00595F29">
        <w:rPr>
          <w:rFonts w:ascii="Cambria" w:hAnsi="Cambria"/>
        </w:rPr>
        <w:t>Labor’s</w:t>
      </w:r>
      <w:r w:rsidRPr="00595F29">
        <w:rPr>
          <w:rFonts w:ascii="Cambria" w:hAnsi="Cambria"/>
        </w:rPr>
        <w:t xml:space="preserve"> Bureau of </w:t>
      </w:r>
      <w:r w:rsidR="00DF206E" w:rsidRPr="00595F29">
        <w:rPr>
          <w:rFonts w:ascii="Cambria" w:hAnsi="Cambria"/>
        </w:rPr>
        <w:t>Labor Statistics</w:t>
      </w:r>
      <w:r w:rsidR="009D3D20" w:rsidRPr="00595F29">
        <w:rPr>
          <w:rFonts w:ascii="Cambria" w:hAnsi="Cambria"/>
        </w:rPr>
        <w:t xml:space="preserve"> (BLS)</w:t>
      </w:r>
      <w:r w:rsidRPr="00595F29">
        <w:rPr>
          <w:rFonts w:ascii="Cambria" w:hAnsi="Cambria"/>
        </w:rPr>
        <w:t xml:space="preserve"> released </w:t>
      </w:r>
      <w:r w:rsidR="00DF206E" w:rsidRPr="00595F29">
        <w:rPr>
          <w:rFonts w:ascii="Cambria" w:hAnsi="Cambria"/>
        </w:rPr>
        <w:t xml:space="preserve">the </w:t>
      </w:r>
      <w:r w:rsidR="00DF206E" w:rsidRPr="00595F29">
        <w:rPr>
          <w:rFonts w:ascii="Cambria" w:hAnsi="Cambria"/>
          <w:i/>
        </w:rPr>
        <w:t>Employment Situation</w:t>
      </w:r>
      <w:r w:rsidR="00DF206E" w:rsidRPr="00595F29">
        <w:rPr>
          <w:rFonts w:ascii="Cambria" w:hAnsi="Cambria"/>
        </w:rPr>
        <w:t xml:space="preserve"> report for July 2020</w:t>
      </w:r>
      <w:r w:rsidR="009D390C" w:rsidRPr="00595F29">
        <w:rPr>
          <w:rFonts w:ascii="Cambria" w:hAnsi="Cambria"/>
        </w:rPr>
        <w:t xml:space="preserve">.  </w:t>
      </w:r>
      <w:r w:rsidR="00DF206E" w:rsidRPr="00595F29">
        <w:rPr>
          <w:rFonts w:ascii="Cambria" w:hAnsi="Cambria"/>
        </w:rPr>
        <w:t>The monthly employment reports are always among the most closely watched economic reports.  That is especially true in the current pandemic era</w:t>
      </w:r>
      <w:r w:rsidR="009D390C" w:rsidRPr="00595F29">
        <w:rPr>
          <w:rFonts w:ascii="Cambria" w:hAnsi="Cambria"/>
          <w:noProof/>
        </w:rPr>
        <w:t xml:space="preserve">. </w:t>
      </w:r>
    </w:p>
    <w:p w14:paraId="0D8B60BA" w14:textId="77777777" w:rsidR="00B301CF" w:rsidRPr="00595F29" w:rsidRDefault="00DF206E">
      <w:pPr>
        <w:rPr>
          <w:rFonts w:ascii="Cambria" w:hAnsi="Cambria"/>
        </w:rPr>
      </w:pPr>
      <w:r w:rsidRPr="00595F29">
        <w:rPr>
          <w:rFonts w:ascii="Cambria" w:hAnsi="Cambria"/>
        </w:rPr>
        <w:t>In July, employment continued to recover from the mass layoffs precipitated by the widespread COVID-induced shutdowns that began in March and extended into May in most states</w:t>
      </w:r>
      <w:r w:rsidR="00D62502" w:rsidRPr="00595F29">
        <w:rPr>
          <w:rFonts w:ascii="Cambria" w:hAnsi="Cambria"/>
        </w:rPr>
        <w:t>.</w:t>
      </w:r>
      <w:r w:rsidRPr="00595F29">
        <w:rPr>
          <w:rFonts w:ascii="Cambria" w:hAnsi="Cambria"/>
        </w:rPr>
        <w:t xml:space="preserve">  Non-farm payrolls expanded by 1.</w:t>
      </w:r>
      <w:r w:rsidR="00341304" w:rsidRPr="00595F29">
        <w:rPr>
          <w:rFonts w:ascii="Cambria" w:hAnsi="Cambria"/>
        </w:rPr>
        <w:t>763</w:t>
      </w:r>
      <w:r w:rsidRPr="00595F29">
        <w:rPr>
          <w:rFonts w:ascii="Cambria" w:hAnsi="Cambria"/>
        </w:rPr>
        <w:t xml:space="preserve"> million jobs in July.  </w:t>
      </w:r>
      <w:r w:rsidR="00B301CF" w:rsidRPr="00595F29">
        <w:rPr>
          <w:rFonts w:ascii="Cambria" w:hAnsi="Cambria"/>
        </w:rPr>
        <w:t xml:space="preserve">Expectations for this report were more uncertain than usual.  </w:t>
      </w:r>
      <w:r w:rsidR="009D3D20" w:rsidRPr="00595F29">
        <w:rPr>
          <w:rFonts w:ascii="Cambria" w:hAnsi="Cambria"/>
        </w:rPr>
        <w:t xml:space="preserve">Two days prior to the release of the July </w:t>
      </w:r>
      <w:r w:rsidR="009D3D20" w:rsidRPr="00595F29">
        <w:rPr>
          <w:rFonts w:ascii="Cambria" w:hAnsi="Cambria"/>
          <w:i/>
        </w:rPr>
        <w:t>Employment Situation</w:t>
      </w:r>
      <w:r w:rsidR="009D3D20" w:rsidRPr="00595F29">
        <w:rPr>
          <w:rFonts w:ascii="Cambria" w:hAnsi="Cambria"/>
        </w:rPr>
        <w:t xml:space="preserve"> report, the private payroll management company, ADP, released their own monthly private sector employment report, which showed job growth of just 167,000 jobs in July.  The monthly ADP report usually correlates fairly closely to the official BLS report and so foreshadowed a disappointing July employment report.  In light of this pre-report background, the July jobs figures appear to be quite positive.</w:t>
      </w:r>
    </w:p>
    <w:p w14:paraId="370A7059" w14:textId="77777777" w:rsidR="00D62502" w:rsidRPr="00595F29" w:rsidRDefault="00341304">
      <w:pPr>
        <w:rPr>
          <w:rFonts w:ascii="Cambria" w:hAnsi="Cambria"/>
          <w:noProof/>
        </w:rPr>
      </w:pPr>
      <w:r w:rsidRPr="00595F29">
        <w:rPr>
          <w:rFonts w:ascii="Cambria" w:hAnsi="Cambria"/>
        </w:rPr>
        <w:t>This is the third consecutive month of historically strong job growth.  Non-farm payrolls expanded by 2.725 million jobs in May and by another 4.791 million in June.  Thus, the July payroll figure</w:t>
      </w:r>
      <w:r w:rsidR="009D3D20" w:rsidRPr="00595F29">
        <w:rPr>
          <w:rFonts w:ascii="Cambria" w:hAnsi="Cambria"/>
        </w:rPr>
        <w:t>, while showing historically robust job growth, also</w:t>
      </w:r>
      <w:r w:rsidRPr="00595F29">
        <w:rPr>
          <w:rFonts w:ascii="Cambria" w:hAnsi="Cambria"/>
        </w:rPr>
        <w:t xml:space="preserve"> represents a significant slowdown in the pace of </w:t>
      </w:r>
      <w:r w:rsidR="009D3D20" w:rsidRPr="00595F29">
        <w:rPr>
          <w:rFonts w:ascii="Cambria" w:hAnsi="Cambria"/>
        </w:rPr>
        <w:t xml:space="preserve">post-shutdown </w:t>
      </w:r>
      <w:r w:rsidRPr="00595F29">
        <w:rPr>
          <w:rFonts w:ascii="Cambria" w:hAnsi="Cambria"/>
        </w:rPr>
        <w:t xml:space="preserve">rehiring.  Figure 1 shows the month-to-month change in non-farm payroll jobs over the past decade.  </w:t>
      </w:r>
      <w:r w:rsidR="00DF206E" w:rsidRPr="00595F29">
        <w:rPr>
          <w:rFonts w:ascii="Cambria" w:hAnsi="Cambria"/>
        </w:rPr>
        <w:t xml:space="preserve">  </w:t>
      </w:r>
    </w:p>
    <w:p w14:paraId="2684E9B0" w14:textId="77777777" w:rsidR="009D390C" w:rsidRPr="00595F29" w:rsidRDefault="00341304">
      <w:pPr>
        <w:rPr>
          <w:rFonts w:ascii="Cambria" w:hAnsi="Cambria"/>
        </w:rPr>
      </w:pPr>
      <w:r w:rsidRPr="00595F29">
        <w:rPr>
          <w:rFonts w:ascii="Cambria" w:hAnsi="Cambria"/>
          <w:noProof/>
        </w:rPr>
        <w:drawing>
          <wp:inline distT="0" distB="0" distL="0" distR="0" wp14:anchorId="3520905A" wp14:editId="3D4E996C">
            <wp:extent cx="5657850" cy="2743200"/>
            <wp:effectExtent l="0" t="0" r="0" b="0"/>
            <wp:docPr id="1" name="Chart 1">
              <a:extLst xmlns:a="http://schemas.openxmlformats.org/drawingml/2006/main">
                <a:ext uri="{FF2B5EF4-FFF2-40B4-BE49-F238E27FC236}">
                  <a16:creationId xmlns:a16="http://schemas.microsoft.com/office/drawing/2014/main" id="{FF64A1E0-283E-4100-9DA4-A546F1C44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62502" w:rsidRPr="00595F29">
        <w:rPr>
          <w:rFonts w:ascii="Cambria" w:hAnsi="Cambria"/>
        </w:rPr>
        <w:t xml:space="preserve"> </w:t>
      </w:r>
    </w:p>
    <w:p w14:paraId="5405D93B" w14:textId="77777777" w:rsidR="00C6622F" w:rsidRPr="00595F29" w:rsidRDefault="00EB6246">
      <w:pPr>
        <w:rPr>
          <w:rFonts w:ascii="Cambria" w:hAnsi="Cambria"/>
          <w:sz w:val="20"/>
          <w:szCs w:val="20"/>
        </w:rPr>
      </w:pPr>
      <w:r w:rsidRPr="00595F29">
        <w:rPr>
          <w:rFonts w:ascii="Cambria" w:hAnsi="Cambria"/>
          <w:sz w:val="20"/>
          <w:szCs w:val="20"/>
        </w:rPr>
        <w:t xml:space="preserve">Data Source: </w:t>
      </w:r>
      <w:r w:rsidR="002913AF" w:rsidRPr="00595F29">
        <w:rPr>
          <w:rFonts w:ascii="Cambria" w:hAnsi="Cambria"/>
          <w:sz w:val="20"/>
          <w:szCs w:val="20"/>
        </w:rPr>
        <w:t>St. Louis Federal Reserve Bank, FRED Economic Data</w:t>
      </w:r>
    </w:p>
    <w:p w14:paraId="7F6B9388" w14:textId="77777777" w:rsidR="002913AF" w:rsidRPr="00595F29" w:rsidRDefault="002913AF">
      <w:pPr>
        <w:rPr>
          <w:rFonts w:ascii="Cambria" w:hAnsi="Cambria"/>
        </w:rPr>
      </w:pPr>
      <w:r w:rsidRPr="00595F29">
        <w:rPr>
          <w:rFonts w:ascii="Cambria" w:hAnsi="Cambria"/>
          <w:b/>
        </w:rPr>
        <w:t>Figure 1.</w:t>
      </w:r>
      <w:r w:rsidRPr="00595F29">
        <w:rPr>
          <w:rFonts w:ascii="Cambria" w:hAnsi="Cambria"/>
        </w:rPr>
        <w:t xml:space="preserve">  </w:t>
      </w:r>
      <w:r w:rsidR="00D62502" w:rsidRPr="00595F29">
        <w:rPr>
          <w:rFonts w:ascii="Cambria" w:hAnsi="Cambria"/>
        </w:rPr>
        <w:t xml:space="preserve">Monthly </w:t>
      </w:r>
      <w:r w:rsidR="00341304" w:rsidRPr="00595F29">
        <w:rPr>
          <w:rFonts w:ascii="Cambria" w:hAnsi="Cambria"/>
        </w:rPr>
        <w:t>Change in Non-Farm Payroll Employment: January 2010 – July 2020</w:t>
      </w:r>
    </w:p>
    <w:p w14:paraId="5D07C636" w14:textId="6671CD45" w:rsidR="00C25885" w:rsidRPr="00595F29" w:rsidRDefault="001C7811">
      <w:pPr>
        <w:rPr>
          <w:rFonts w:ascii="Cambria" w:hAnsi="Cambria"/>
        </w:rPr>
      </w:pPr>
      <w:r w:rsidRPr="00595F29">
        <w:rPr>
          <w:rFonts w:ascii="Cambria" w:hAnsi="Cambria"/>
        </w:rPr>
        <w:t xml:space="preserve">The </w:t>
      </w:r>
      <w:r w:rsidRPr="00595F29">
        <w:rPr>
          <w:rFonts w:ascii="Cambria" w:hAnsi="Cambria"/>
          <w:i/>
        </w:rPr>
        <w:t>Employment Situation</w:t>
      </w:r>
      <w:r w:rsidRPr="00595F29">
        <w:rPr>
          <w:rFonts w:ascii="Cambria" w:hAnsi="Cambria"/>
        </w:rPr>
        <w:t xml:space="preserve"> report breaks hiring down by major sector of the economy, including goods-producing, service-providing, and government.  Very little of last month’s job growth was in the goods-producing sector: just 39,000 jobs added (2.2</w:t>
      </w:r>
      <w:bookmarkStart w:id="0" w:name="_GoBack"/>
      <w:bookmarkEnd w:id="0"/>
      <w:r w:rsidR="00595F29">
        <w:rPr>
          <w:rFonts w:ascii="Cambria" w:hAnsi="Cambria"/>
        </w:rPr>
        <w:t xml:space="preserve"> percent</w:t>
      </w:r>
      <w:r w:rsidRPr="00595F29">
        <w:rPr>
          <w:rFonts w:ascii="Cambria" w:hAnsi="Cambria"/>
        </w:rPr>
        <w:t xml:space="preserve"> of July job growth).  By contrast, the service-providing sector accounted for over 1.4 million (80.7</w:t>
      </w:r>
      <w:r w:rsidR="00595F29">
        <w:rPr>
          <w:rFonts w:ascii="Cambria" w:hAnsi="Cambria"/>
        </w:rPr>
        <w:t xml:space="preserve"> percent</w:t>
      </w:r>
      <w:r w:rsidRPr="00595F29">
        <w:rPr>
          <w:rFonts w:ascii="Cambria" w:hAnsi="Cambria"/>
        </w:rPr>
        <w:t>) of July’s job gains.  This shouldn’t be too surprising.  Most of the job loss in March and April occurred in the service-providing sector.  If we aggregate March and April job losses, just 11</w:t>
      </w:r>
      <w:r w:rsidR="00595F29">
        <w:rPr>
          <w:rFonts w:ascii="Cambria" w:hAnsi="Cambria"/>
        </w:rPr>
        <w:t xml:space="preserve"> percent</w:t>
      </w:r>
      <w:r w:rsidRPr="00595F29">
        <w:rPr>
          <w:rFonts w:ascii="Cambria" w:hAnsi="Cambria"/>
        </w:rPr>
        <w:t xml:space="preserve"> occurred in the goods-producing sector while 84</w:t>
      </w:r>
      <w:r w:rsidR="00595F29">
        <w:rPr>
          <w:rFonts w:ascii="Cambria" w:hAnsi="Cambria"/>
        </w:rPr>
        <w:t xml:space="preserve"> percent</w:t>
      </w:r>
      <w:r w:rsidRPr="00595F29">
        <w:rPr>
          <w:rFonts w:ascii="Cambria" w:hAnsi="Cambria"/>
        </w:rPr>
        <w:t xml:space="preserve"> occurred in the service-providing sector.  Now, aggregating May through July job recoveries, 13</w:t>
      </w:r>
      <w:r w:rsidR="00595F29">
        <w:rPr>
          <w:rFonts w:ascii="Cambria" w:hAnsi="Cambria"/>
        </w:rPr>
        <w:t xml:space="preserve"> percent</w:t>
      </w:r>
      <w:r w:rsidRPr="00595F29">
        <w:rPr>
          <w:rFonts w:ascii="Cambria" w:hAnsi="Cambria"/>
        </w:rPr>
        <w:t xml:space="preserve"> have occurred in the goods producing sector and 88</w:t>
      </w:r>
      <w:r w:rsidR="00595F29">
        <w:rPr>
          <w:rFonts w:ascii="Cambria" w:hAnsi="Cambria"/>
        </w:rPr>
        <w:t xml:space="preserve"> percent</w:t>
      </w:r>
      <w:r w:rsidRPr="00595F29">
        <w:rPr>
          <w:rFonts w:ascii="Cambria" w:hAnsi="Cambria"/>
        </w:rPr>
        <w:t xml:space="preserve"> in the services-providing sector.  Thus, there does not appear to be a great deal of mismatch, across </w:t>
      </w:r>
      <w:r w:rsidRPr="00595F29">
        <w:rPr>
          <w:rFonts w:ascii="Cambria" w:hAnsi="Cambria"/>
        </w:rPr>
        <w:lastRenderedPageBreak/>
        <w:t xml:space="preserve">employment sectors, between where shutdown-related job losses occurred and where reopening-related job recoveries are occurring. </w:t>
      </w:r>
    </w:p>
    <w:p w14:paraId="0E4BDE8F" w14:textId="154A5AB3" w:rsidR="009547FE" w:rsidRPr="00595F29" w:rsidRDefault="009547FE">
      <w:pPr>
        <w:rPr>
          <w:rFonts w:ascii="Cambria" w:hAnsi="Cambria"/>
        </w:rPr>
      </w:pPr>
      <w:r w:rsidRPr="00595F29">
        <w:rPr>
          <w:rFonts w:ascii="Cambria" w:hAnsi="Cambria"/>
        </w:rPr>
        <w:t>With the continued recovery of jobs, the unemployment rate dropped again in July, falling to 10.2</w:t>
      </w:r>
      <w:r w:rsidR="00595F29">
        <w:rPr>
          <w:rFonts w:ascii="Cambria" w:hAnsi="Cambria"/>
        </w:rPr>
        <w:t xml:space="preserve"> percent</w:t>
      </w:r>
      <w:r w:rsidRPr="00595F29">
        <w:rPr>
          <w:rFonts w:ascii="Cambria" w:hAnsi="Cambria"/>
        </w:rPr>
        <w:t xml:space="preserve"> from the April high of 14.7</w:t>
      </w:r>
      <w:r w:rsidR="00595F29">
        <w:rPr>
          <w:rFonts w:ascii="Cambria" w:hAnsi="Cambria"/>
        </w:rPr>
        <w:t xml:space="preserve"> percent</w:t>
      </w:r>
      <w:r w:rsidRPr="00595F29">
        <w:rPr>
          <w:rFonts w:ascii="Cambria" w:hAnsi="Cambria"/>
        </w:rPr>
        <w:t>.  The unemployment rate remains quite high in recent historical context.  For example, prior to last April, the unemployment rate had not been above 5</w:t>
      </w:r>
      <w:r w:rsidR="00595F29">
        <w:rPr>
          <w:rFonts w:ascii="Cambria" w:hAnsi="Cambria"/>
        </w:rPr>
        <w:t xml:space="preserve"> percent</w:t>
      </w:r>
      <w:r w:rsidRPr="00595F29">
        <w:rPr>
          <w:rFonts w:ascii="Cambria" w:hAnsi="Cambria"/>
        </w:rPr>
        <w:t xml:space="preserve"> since September 2016.</w:t>
      </w:r>
    </w:p>
    <w:p w14:paraId="0FA5DEBB" w14:textId="7820C237" w:rsidR="008425B2" w:rsidRDefault="001C7811">
      <w:pPr>
        <w:rPr>
          <w:rFonts w:ascii="Cambria" w:hAnsi="Cambria"/>
        </w:rPr>
      </w:pPr>
      <w:r w:rsidRPr="00595F29">
        <w:rPr>
          <w:rFonts w:ascii="Cambria" w:hAnsi="Cambria"/>
        </w:rPr>
        <w:t>Looking ahead, the big question is whether reopening-related job recovery will continue in August or whether it has basically been exhausted with the July figures.  Certainly, many pre-COVID jobs remain unrestored</w:t>
      </w:r>
      <w:r w:rsidR="004E186C" w:rsidRPr="00595F29">
        <w:rPr>
          <w:rFonts w:ascii="Cambria" w:hAnsi="Cambria"/>
        </w:rPr>
        <w:t>:</w:t>
      </w:r>
      <w:r w:rsidRPr="00595F29">
        <w:rPr>
          <w:rFonts w:ascii="Cambria" w:hAnsi="Cambria"/>
        </w:rPr>
        <w:t xml:space="preserve"> </w:t>
      </w:r>
      <w:r w:rsidR="004E186C" w:rsidRPr="00595F29">
        <w:rPr>
          <w:rFonts w:ascii="Cambria" w:hAnsi="Cambria"/>
        </w:rPr>
        <w:t>May-July job gains are still almost 13 million jobs short of March-April losses.  But significant headwinds to further employment gains do appear to be growing.  First, several states have slowed down or even partially reversed the pace of reopening as COVID-19 cases have grown.  This may hamper further job growth, particularly in the services sector, where many shutdown-affected jobs are located.  Second, the long-term effects of the pandemic-induced slowdown appear to be weighing a bit more heavily on the market</w:t>
      </w:r>
      <w:r w:rsidR="0062455D" w:rsidRPr="00595F29">
        <w:rPr>
          <w:rFonts w:ascii="Cambria" w:hAnsi="Cambria"/>
        </w:rPr>
        <w:t xml:space="preserve"> as quarterly corporate earnings reports have begun to quantify the negative financial impacts of COVID-19.</w:t>
      </w:r>
      <w:r w:rsidR="002A0D44" w:rsidRPr="00595F29">
        <w:rPr>
          <w:rFonts w:ascii="Cambria" w:hAnsi="Cambria"/>
        </w:rPr>
        <w:t xml:space="preserve">  With the expiration of enhanced unemployment benefits at the end of July, many </w:t>
      </w:r>
      <w:r w:rsidR="003B788E" w:rsidRPr="00595F29">
        <w:rPr>
          <w:rFonts w:ascii="Cambria" w:hAnsi="Cambria"/>
        </w:rPr>
        <w:t xml:space="preserve">workers who were sidelined by the pandemic shutdowns will, more than likely, be aggressively looking for work in August.  Whether they find it or not will tell us a great deal about how the economic recovery is progressing.  </w:t>
      </w:r>
    </w:p>
    <w:p w14:paraId="1BC7BE7B" w14:textId="58E329F5" w:rsidR="00595F29" w:rsidRDefault="00595F29">
      <w:pPr>
        <w:rPr>
          <w:rFonts w:ascii="Cambria" w:hAnsi="Cambria"/>
        </w:rPr>
      </w:pPr>
    </w:p>
    <w:p w14:paraId="1DCD7B77" w14:textId="6F064770" w:rsidR="00595F29" w:rsidRDefault="00595F29">
      <w:pPr>
        <w:rPr>
          <w:rFonts w:ascii="Cambria" w:hAnsi="Cambria"/>
        </w:rPr>
      </w:pPr>
    </w:p>
    <w:p w14:paraId="5EEF9144" w14:textId="27A4C807" w:rsidR="00595F29" w:rsidRDefault="00595F29">
      <w:pPr>
        <w:rPr>
          <w:rFonts w:ascii="Cambria" w:hAnsi="Cambria"/>
        </w:rPr>
      </w:pPr>
    </w:p>
    <w:p w14:paraId="779A84B7" w14:textId="7DE247F4" w:rsidR="00595F29" w:rsidRPr="00595F29" w:rsidRDefault="00595F29">
      <w:pPr>
        <w:rPr>
          <w:rFonts w:ascii="Cambria" w:hAnsi="Cambria"/>
          <w:color w:val="A6A6A6" w:themeColor="background1" w:themeShade="A6"/>
        </w:rPr>
      </w:pPr>
    </w:p>
    <w:p w14:paraId="63A014BE" w14:textId="77777777" w:rsidR="00595F29" w:rsidRPr="00595F29" w:rsidRDefault="00595F29" w:rsidP="00595F29">
      <w:pPr>
        <w:rPr>
          <w:rFonts w:ascii="Cambria" w:hAnsi="Cambria"/>
          <w:color w:val="A6A6A6" w:themeColor="background1" w:themeShade="A6"/>
        </w:rPr>
      </w:pPr>
      <w:r w:rsidRPr="00595F29">
        <w:rPr>
          <w:rFonts w:ascii="Cambria" w:hAnsi="Cambria"/>
          <w:color w:val="A6A6A6" w:themeColor="background1" w:themeShade="A6"/>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CEF55FF" w14:textId="77777777" w:rsidR="00595F29" w:rsidRPr="00595F29" w:rsidRDefault="00595F29">
      <w:pPr>
        <w:rPr>
          <w:rFonts w:ascii="Cambria" w:hAnsi="Cambria"/>
        </w:rPr>
      </w:pPr>
    </w:p>
    <w:p w14:paraId="695E6A0C" w14:textId="77777777" w:rsidR="0062455D" w:rsidRPr="00595F29" w:rsidRDefault="0062455D">
      <w:pPr>
        <w:rPr>
          <w:rFonts w:ascii="Cambria" w:hAnsi="Cambria"/>
        </w:rPr>
      </w:pPr>
    </w:p>
    <w:sectPr w:rsidR="0062455D" w:rsidRPr="00595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56CA" w14:textId="77777777" w:rsidR="00660E7E" w:rsidRDefault="00660E7E" w:rsidP="00C81B41">
      <w:pPr>
        <w:spacing w:after="0" w:line="240" w:lineRule="auto"/>
      </w:pPr>
      <w:r>
        <w:separator/>
      </w:r>
    </w:p>
  </w:endnote>
  <w:endnote w:type="continuationSeparator" w:id="0">
    <w:p w14:paraId="5FEEDBB2" w14:textId="77777777" w:rsidR="00660E7E" w:rsidRDefault="00660E7E"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CDA4" w14:textId="77777777" w:rsidR="00660E7E" w:rsidRDefault="00660E7E" w:rsidP="00C81B41">
      <w:pPr>
        <w:spacing w:after="0" w:line="240" w:lineRule="auto"/>
      </w:pPr>
      <w:r>
        <w:separator/>
      </w:r>
    </w:p>
  </w:footnote>
  <w:footnote w:type="continuationSeparator" w:id="0">
    <w:p w14:paraId="0527B836" w14:textId="77777777" w:rsidR="00660E7E" w:rsidRDefault="00660E7E" w:rsidP="00C8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0DFC"/>
    <w:multiLevelType w:val="hybridMultilevel"/>
    <w:tmpl w:val="C3B6A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35376"/>
    <w:rsid w:val="00130E10"/>
    <w:rsid w:val="001456E5"/>
    <w:rsid w:val="00162351"/>
    <w:rsid w:val="001C7811"/>
    <w:rsid w:val="0021778D"/>
    <w:rsid w:val="0025705D"/>
    <w:rsid w:val="002913AF"/>
    <w:rsid w:val="00297302"/>
    <w:rsid w:val="002A0D44"/>
    <w:rsid w:val="002A6F90"/>
    <w:rsid w:val="002B5166"/>
    <w:rsid w:val="00341304"/>
    <w:rsid w:val="00356067"/>
    <w:rsid w:val="003B788E"/>
    <w:rsid w:val="003D0607"/>
    <w:rsid w:val="00432FF9"/>
    <w:rsid w:val="00451199"/>
    <w:rsid w:val="004923AA"/>
    <w:rsid w:val="004E186C"/>
    <w:rsid w:val="004E24DB"/>
    <w:rsid w:val="00560782"/>
    <w:rsid w:val="00595F29"/>
    <w:rsid w:val="005A3BA7"/>
    <w:rsid w:val="005B11ED"/>
    <w:rsid w:val="005F3569"/>
    <w:rsid w:val="0062455D"/>
    <w:rsid w:val="00655242"/>
    <w:rsid w:val="00657CF2"/>
    <w:rsid w:val="00660E7E"/>
    <w:rsid w:val="00694B7E"/>
    <w:rsid w:val="006B0B51"/>
    <w:rsid w:val="006B58A3"/>
    <w:rsid w:val="006C5887"/>
    <w:rsid w:val="006D5F29"/>
    <w:rsid w:val="00747920"/>
    <w:rsid w:val="00833732"/>
    <w:rsid w:val="008425B2"/>
    <w:rsid w:val="00854084"/>
    <w:rsid w:val="008B6A95"/>
    <w:rsid w:val="008C0347"/>
    <w:rsid w:val="008F6336"/>
    <w:rsid w:val="009547FE"/>
    <w:rsid w:val="00977EFE"/>
    <w:rsid w:val="009D390C"/>
    <w:rsid w:val="009D3D20"/>
    <w:rsid w:val="009F0A7E"/>
    <w:rsid w:val="00A077A1"/>
    <w:rsid w:val="00A116FA"/>
    <w:rsid w:val="00A376C1"/>
    <w:rsid w:val="00A41FB9"/>
    <w:rsid w:val="00A62B7B"/>
    <w:rsid w:val="00AB5685"/>
    <w:rsid w:val="00B301CF"/>
    <w:rsid w:val="00B85113"/>
    <w:rsid w:val="00BA30CC"/>
    <w:rsid w:val="00BC5949"/>
    <w:rsid w:val="00BD2DDF"/>
    <w:rsid w:val="00C25885"/>
    <w:rsid w:val="00C6622F"/>
    <w:rsid w:val="00C81B41"/>
    <w:rsid w:val="00C9607F"/>
    <w:rsid w:val="00CF7FE6"/>
    <w:rsid w:val="00D0255B"/>
    <w:rsid w:val="00D62502"/>
    <w:rsid w:val="00DF206E"/>
    <w:rsid w:val="00E533AE"/>
    <w:rsid w:val="00E70813"/>
    <w:rsid w:val="00E9494E"/>
    <w:rsid w:val="00EB6246"/>
    <w:rsid w:val="00EC30E0"/>
    <w:rsid w:val="00F364C2"/>
    <w:rsid w:val="00F62885"/>
    <w:rsid w:val="00F7459F"/>
    <w:rsid w:val="00FB1D7B"/>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C13B"/>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 w:type="table" w:styleId="TableGrid">
    <w:name w:val="Table Grid"/>
    <w:basedOn w:val="TableNormal"/>
    <w:uiPriority w:val="39"/>
    <w:rsid w:val="00F6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'FRED Graph'!$A$48:$A$174</c:f>
              <c:numCache>
                <c:formatCode>[$-409]mmm\-yy;@</c:formatCode>
                <c:ptCount val="127"/>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pt idx="121">
                  <c:v>43862</c:v>
                </c:pt>
                <c:pt idx="122">
                  <c:v>43891</c:v>
                </c:pt>
                <c:pt idx="123">
                  <c:v>43922</c:v>
                </c:pt>
                <c:pt idx="124">
                  <c:v>43952</c:v>
                </c:pt>
                <c:pt idx="125">
                  <c:v>43983</c:v>
                </c:pt>
                <c:pt idx="126">
                  <c:v>44013</c:v>
                </c:pt>
              </c:numCache>
            </c:numRef>
          </c:cat>
          <c:val>
            <c:numRef>
              <c:f>'FRED Graph'!$B$48:$B$174</c:f>
              <c:numCache>
                <c:formatCode>0</c:formatCode>
                <c:ptCount val="127"/>
                <c:pt idx="0">
                  <c:v>2</c:v>
                </c:pt>
                <c:pt idx="1">
                  <c:v>-92</c:v>
                </c:pt>
                <c:pt idx="2">
                  <c:v>181</c:v>
                </c:pt>
                <c:pt idx="3">
                  <c:v>231</c:v>
                </c:pt>
                <c:pt idx="4">
                  <c:v>540</c:v>
                </c:pt>
                <c:pt idx="5">
                  <c:v>-139</c:v>
                </c:pt>
                <c:pt idx="6">
                  <c:v>-84</c:v>
                </c:pt>
                <c:pt idx="7">
                  <c:v>-5</c:v>
                </c:pt>
                <c:pt idx="8">
                  <c:v>-65</c:v>
                </c:pt>
                <c:pt idx="9">
                  <c:v>268</c:v>
                </c:pt>
                <c:pt idx="10">
                  <c:v>125</c:v>
                </c:pt>
                <c:pt idx="11">
                  <c:v>72</c:v>
                </c:pt>
                <c:pt idx="12">
                  <c:v>19</c:v>
                </c:pt>
                <c:pt idx="13">
                  <c:v>212</c:v>
                </c:pt>
                <c:pt idx="14">
                  <c:v>235</c:v>
                </c:pt>
                <c:pt idx="15">
                  <c:v>314</c:v>
                </c:pt>
                <c:pt idx="16">
                  <c:v>101</c:v>
                </c:pt>
                <c:pt idx="17">
                  <c:v>236</c:v>
                </c:pt>
                <c:pt idx="18">
                  <c:v>60</c:v>
                </c:pt>
                <c:pt idx="19">
                  <c:v>126</c:v>
                </c:pt>
                <c:pt idx="20">
                  <c:v>233</c:v>
                </c:pt>
                <c:pt idx="21">
                  <c:v>204</c:v>
                </c:pt>
                <c:pt idx="22">
                  <c:v>132</c:v>
                </c:pt>
                <c:pt idx="23">
                  <c:v>202</c:v>
                </c:pt>
                <c:pt idx="24">
                  <c:v>354</c:v>
                </c:pt>
                <c:pt idx="25">
                  <c:v>262</c:v>
                </c:pt>
                <c:pt idx="26">
                  <c:v>240</c:v>
                </c:pt>
                <c:pt idx="27">
                  <c:v>82</c:v>
                </c:pt>
                <c:pt idx="28">
                  <c:v>100</c:v>
                </c:pt>
                <c:pt idx="29">
                  <c:v>73</c:v>
                </c:pt>
                <c:pt idx="30">
                  <c:v>152</c:v>
                </c:pt>
                <c:pt idx="31">
                  <c:v>172</c:v>
                </c:pt>
                <c:pt idx="32">
                  <c:v>187</c:v>
                </c:pt>
                <c:pt idx="33">
                  <c:v>159</c:v>
                </c:pt>
                <c:pt idx="34">
                  <c:v>156</c:v>
                </c:pt>
                <c:pt idx="35">
                  <c:v>239</c:v>
                </c:pt>
                <c:pt idx="36">
                  <c:v>191</c:v>
                </c:pt>
                <c:pt idx="37">
                  <c:v>278</c:v>
                </c:pt>
                <c:pt idx="38">
                  <c:v>139</c:v>
                </c:pt>
                <c:pt idx="39">
                  <c:v>191</c:v>
                </c:pt>
                <c:pt idx="40">
                  <c:v>222</c:v>
                </c:pt>
                <c:pt idx="41">
                  <c:v>181</c:v>
                </c:pt>
                <c:pt idx="42">
                  <c:v>112</c:v>
                </c:pt>
                <c:pt idx="43">
                  <c:v>242</c:v>
                </c:pt>
                <c:pt idx="44">
                  <c:v>187</c:v>
                </c:pt>
                <c:pt idx="45">
                  <c:v>225</c:v>
                </c:pt>
                <c:pt idx="46">
                  <c:v>264</c:v>
                </c:pt>
                <c:pt idx="47">
                  <c:v>69</c:v>
                </c:pt>
                <c:pt idx="48">
                  <c:v>175</c:v>
                </c:pt>
                <c:pt idx="49">
                  <c:v>166</c:v>
                </c:pt>
                <c:pt idx="50">
                  <c:v>254</c:v>
                </c:pt>
                <c:pt idx="51">
                  <c:v>325</c:v>
                </c:pt>
                <c:pt idx="52">
                  <c:v>218</c:v>
                </c:pt>
                <c:pt idx="53">
                  <c:v>326</c:v>
                </c:pt>
                <c:pt idx="54">
                  <c:v>232</c:v>
                </c:pt>
                <c:pt idx="55">
                  <c:v>188</c:v>
                </c:pt>
                <c:pt idx="56">
                  <c:v>309</c:v>
                </c:pt>
                <c:pt idx="57">
                  <c:v>252</c:v>
                </c:pt>
                <c:pt idx="58">
                  <c:v>291</c:v>
                </c:pt>
                <c:pt idx="59">
                  <c:v>268</c:v>
                </c:pt>
                <c:pt idx="60">
                  <c:v>191</c:v>
                </c:pt>
                <c:pt idx="61">
                  <c:v>271</c:v>
                </c:pt>
                <c:pt idx="62">
                  <c:v>71</c:v>
                </c:pt>
                <c:pt idx="63">
                  <c:v>284</c:v>
                </c:pt>
                <c:pt idx="64">
                  <c:v>331</c:v>
                </c:pt>
                <c:pt idx="65">
                  <c:v>174</c:v>
                </c:pt>
                <c:pt idx="66">
                  <c:v>302</c:v>
                </c:pt>
                <c:pt idx="67">
                  <c:v>125</c:v>
                </c:pt>
                <c:pt idx="68">
                  <c:v>155</c:v>
                </c:pt>
                <c:pt idx="69">
                  <c:v>306</c:v>
                </c:pt>
                <c:pt idx="70">
                  <c:v>237</c:v>
                </c:pt>
                <c:pt idx="71">
                  <c:v>273</c:v>
                </c:pt>
                <c:pt idx="72">
                  <c:v>73</c:v>
                </c:pt>
                <c:pt idx="73">
                  <c:v>263</c:v>
                </c:pt>
                <c:pt idx="74">
                  <c:v>229</c:v>
                </c:pt>
                <c:pt idx="75">
                  <c:v>187</c:v>
                </c:pt>
                <c:pt idx="76">
                  <c:v>42</c:v>
                </c:pt>
                <c:pt idx="77">
                  <c:v>267</c:v>
                </c:pt>
                <c:pt idx="78">
                  <c:v>354</c:v>
                </c:pt>
                <c:pt idx="79">
                  <c:v>135</c:v>
                </c:pt>
                <c:pt idx="80">
                  <c:v>269</c:v>
                </c:pt>
                <c:pt idx="81">
                  <c:v>145</c:v>
                </c:pt>
                <c:pt idx="82">
                  <c:v>151</c:v>
                </c:pt>
                <c:pt idx="83">
                  <c:v>230</c:v>
                </c:pt>
                <c:pt idx="84">
                  <c:v>185</c:v>
                </c:pt>
                <c:pt idx="85">
                  <c:v>188</c:v>
                </c:pt>
                <c:pt idx="86">
                  <c:v>129</c:v>
                </c:pt>
                <c:pt idx="87">
                  <c:v>197</c:v>
                </c:pt>
                <c:pt idx="88">
                  <c:v>155</c:v>
                </c:pt>
                <c:pt idx="89">
                  <c:v>216</c:v>
                </c:pt>
                <c:pt idx="90">
                  <c:v>215</c:v>
                </c:pt>
                <c:pt idx="91">
                  <c:v>184</c:v>
                </c:pt>
                <c:pt idx="92">
                  <c:v>18</c:v>
                </c:pt>
                <c:pt idx="93">
                  <c:v>267</c:v>
                </c:pt>
                <c:pt idx="94">
                  <c:v>225</c:v>
                </c:pt>
                <c:pt idx="95">
                  <c:v>130</c:v>
                </c:pt>
                <c:pt idx="96">
                  <c:v>121</c:v>
                </c:pt>
                <c:pt idx="97">
                  <c:v>406</c:v>
                </c:pt>
                <c:pt idx="98">
                  <c:v>176</c:v>
                </c:pt>
                <c:pt idx="99">
                  <c:v>137</c:v>
                </c:pt>
                <c:pt idx="100">
                  <c:v>278</c:v>
                </c:pt>
                <c:pt idx="101">
                  <c:v>219</c:v>
                </c:pt>
                <c:pt idx="102">
                  <c:v>136</c:v>
                </c:pt>
                <c:pt idx="103">
                  <c:v>244</c:v>
                </c:pt>
                <c:pt idx="104">
                  <c:v>80</c:v>
                </c:pt>
                <c:pt idx="105">
                  <c:v>201</c:v>
                </c:pt>
                <c:pt idx="106">
                  <c:v>134</c:v>
                </c:pt>
                <c:pt idx="107">
                  <c:v>182</c:v>
                </c:pt>
                <c:pt idx="108">
                  <c:v>269</c:v>
                </c:pt>
                <c:pt idx="109">
                  <c:v>1</c:v>
                </c:pt>
                <c:pt idx="110">
                  <c:v>147</c:v>
                </c:pt>
                <c:pt idx="111">
                  <c:v>210</c:v>
                </c:pt>
                <c:pt idx="112">
                  <c:v>85</c:v>
                </c:pt>
                <c:pt idx="113">
                  <c:v>182</c:v>
                </c:pt>
                <c:pt idx="114">
                  <c:v>194</c:v>
                </c:pt>
                <c:pt idx="115">
                  <c:v>207</c:v>
                </c:pt>
                <c:pt idx="116">
                  <c:v>208</c:v>
                </c:pt>
                <c:pt idx="117">
                  <c:v>185</c:v>
                </c:pt>
                <c:pt idx="118">
                  <c:v>261</c:v>
                </c:pt>
                <c:pt idx="119">
                  <c:v>184</c:v>
                </c:pt>
                <c:pt idx="120">
                  <c:v>214</c:v>
                </c:pt>
                <c:pt idx="121">
                  <c:v>251</c:v>
                </c:pt>
                <c:pt idx="122">
                  <c:v>-1373</c:v>
                </c:pt>
                <c:pt idx="123">
                  <c:v>-20787</c:v>
                </c:pt>
                <c:pt idx="124">
                  <c:v>2725</c:v>
                </c:pt>
                <c:pt idx="125">
                  <c:v>4791</c:v>
                </c:pt>
                <c:pt idx="126">
                  <c:v>1763</c:v>
                </c:pt>
              </c:numCache>
            </c:numRef>
          </c:val>
          <c:extLst>
            <c:ext xmlns:c16="http://schemas.microsoft.com/office/drawing/2014/chart" uri="{C3380CC4-5D6E-409C-BE32-E72D297353CC}">
              <c16:uniqueId val="{00000000-CF39-4EDA-87BE-2E667E6080F4}"/>
            </c:ext>
          </c:extLst>
        </c:ser>
        <c:dLbls>
          <c:showLegendKey val="0"/>
          <c:showVal val="0"/>
          <c:showCatName val="0"/>
          <c:showSerName val="0"/>
          <c:showPercent val="0"/>
          <c:showBubbleSize val="0"/>
        </c:dLbls>
        <c:gapWidth val="50"/>
        <c:axId val="1302426031"/>
        <c:axId val="1485642127"/>
      </c:barChart>
      <c:dateAx>
        <c:axId val="1302426031"/>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642127"/>
        <c:crosses val="autoZero"/>
        <c:auto val="1"/>
        <c:lblOffset val="100"/>
        <c:baseTimeUnit val="months"/>
      </c:dateAx>
      <c:valAx>
        <c:axId val="148564212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of jobs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42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58D0-C4E3-0C4A-A4E2-E7A90EC8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Mary Hightower</cp:lastModifiedBy>
  <cp:revision>5</cp:revision>
  <dcterms:created xsi:type="dcterms:W3CDTF">2020-08-07T15:31:00Z</dcterms:created>
  <dcterms:modified xsi:type="dcterms:W3CDTF">2020-08-10T14:30:00Z</dcterms:modified>
</cp:coreProperties>
</file>