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8489E2" w14:textId="7E025E63" w:rsidR="00820D8E" w:rsidRDefault="00820D8E" w:rsidP="002F3C19">
      <w:pPr>
        <w:shd w:val="clear" w:color="auto" w:fill="FFFFFF"/>
        <w:spacing w:after="0" w:line="240" w:lineRule="auto"/>
        <w:jc w:val="center"/>
        <w:rPr>
          <w:rFonts w:ascii="Cambria" w:eastAsia="Times New Roman" w:hAnsi="Cambria" w:cs="Times New Roman"/>
          <w:b/>
          <w:sz w:val="28"/>
          <w:szCs w:val="28"/>
        </w:rPr>
      </w:pPr>
      <w:r>
        <w:rPr>
          <w:rFonts w:ascii="Cambria" w:eastAsia="Times New Roman" w:hAnsi="Cambria" w:cs="Times New Roman"/>
          <w:b/>
          <w:noProof/>
          <w:sz w:val="28"/>
          <w:szCs w:val="28"/>
        </w:rPr>
        <w:drawing>
          <wp:inline distT="0" distB="0" distL="0" distR="0" wp14:anchorId="126E7369" wp14:editId="324E398B">
            <wp:extent cx="2438400" cy="469900"/>
            <wp:effectExtent l="0" t="0" r="0" b="0"/>
            <wp:docPr id="3" name="Picture 3"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38400" cy="469900"/>
                    </a:xfrm>
                    <a:prstGeom prst="rect">
                      <a:avLst/>
                    </a:prstGeom>
                  </pic:spPr>
                </pic:pic>
              </a:graphicData>
            </a:graphic>
          </wp:inline>
        </w:drawing>
      </w:r>
    </w:p>
    <w:p w14:paraId="3BEBF473" w14:textId="77777777" w:rsidR="00820D8E" w:rsidRDefault="00820D8E" w:rsidP="002F3C19">
      <w:pPr>
        <w:shd w:val="clear" w:color="auto" w:fill="FFFFFF"/>
        <w:spacing w:after="0" w:line="240" w:lineRule="auto"/>
        <w:jc w:val="center"/>
        <w:rPr>
          <w:rFonts w:ascii="Cambria" w:eastAsia="Times New Roman" w:hAnsi="Cambria" w:cs="Times New Roman"/>
          <w:b/>
          <w:sz w:val="28"/>
          <w:szCs w:val="28"/>
        </w:rPr>
      </w:pPr>
    </w:p>
    <w:p w14:paraId="5330B098" w14:textId="77777777" w:rsidR="0008751F" w:rsidRDefault="0008751F" w:rsidP="0008751F">
      <w:pPr>
        <w:shd w:val="clear" w:color="auto" w:fill="FFFFFF"/>
        <w:spacing w:after="0" w:line="240" w:lineRule="auto"/>
        <w:jc w:val="center"/>
        <w:rPr>
          <w:rFonts w:ascii="Cambria" w:eastAsia="Times New Roman" w:hAnsi="Cambria" w:cs="Times New Roman"/>
          <w:b/>
          <w:sz w:val="28"/>
          <w:szCs w:val="28"/>
        </w:rPr>
      </w:pPr>
    </w:p>
    <w:p w14:paraId="54F993A5" w14:textId="77777777" w:rsidR="0008751F" w:rsidRDefault="0008751F" w:rsidP="006C7D8F">
      <w:pPr>
        <w:shd w:val="clear" w:color="auto" w:fill="FFFFFF"/>
        <w:spacing w:after="0" w:line="240" w:lineRule="auto"/>
        <w:rPr>
          <w:rFonts w:ascii="Cambria" w:eastAsia="Times New Roman" w:hAnsi="Cambria" w:cs="Times New Roman"/>
          <w:b/>
          <w:sz w:val="28"/>
          <w:szCs w:val="28"/>
        </w:rPr>
      </w:pPr>
    </w:p>
    <w:p w14:paraId="33C52951" w14:textId="77777777" w:rsidR="0008751F" w:rsidRDefault="0008751F" w:rsidP="006C7D8F">
      <w:pPr>
        <w:shd w:val="clear" w:color="auto" w:fill="FFFFFF"/>
        <w:spacing w:after="0" w:line="240" w:lineRule="auto"/>
        <w:rPr>
          <w:rFonts w:ascii="Cambria" w:eastAsia="Times New Roman" w:hAnsi="Cambria" w:cs="Times New Roman"/>
          <w:b/>
          <w:sz w:val="28"/>
          <w:szCs w:val="28"/>
        </w:rPr>
      </w:pPr>
    </w:p>
    <w:p w14:paraId="75ED6F4F" w14:textId="77777777" w:rsidR="0008751F" w:rsidRDefault="0008751F" w:rsidP="0008751F">
      <w:pPr>
        <w:shd w:val="clear" w:color="auto" w:fill="FFFFFF"/>
        <w:spacing w:after="0" w:line="240" w:lineRule="auto"/>
        <w:jc w:val="center"/>
        <w:rPr>
          <w:rFonts w:ascii="Cambria" w:eastAsia="Times New Roman" w:hAnsi="Cambria" w:cs="Times New Roman"/>
          <w:b/>
          <w:sz w:val="28"/>
          <w:szCs w:val="28"/>
        </w:rPr>
      </w:pPr>
    </w:p>
    <w:p w14:paraId="57246B8E" w14:textId="77777777" w:rsidR="0008751F" w:rsidRDefault="0008751F" w:rsidP="0008751F">
      <w:pPr>
        <w:shd w:val="clear" w:color="auto" w:fill="FFFFFF"/>
        <w:spacing w:after="0" w:line="240" w:lineRule="auto"/>
        <w:jc w:val="center"/>
        <w:rPr>
          <w:rFonts w:ascii="Cambria" w:eastAsia="Times New Roman" w:hAnsi="Cambria" w:cs="Times New Roman"/>
          <w:b/>
          <w:sz w:val="28"/>
          <w:szCs w:val="28"/>
        </w:rPr>
      </w:pPr>
    </w:p>
    <w:p w14:paraId="2F2A974A" w14:textId="77777777" w:rsidR="0008751F" w:rsidRDefault="0008751F" w:rsidP="0008751F">
      <w:pPr>
        <w:shd w:val="clear" w:color="auto" w:fill="FFFFFF"/>
        <w:spacing w:after="0" w:line="240" w:lineRule="auto"/>
        <w:jc w:val="center"/>
        <w:rPr>
          <w:rFonts w:ascii="Cambria" w:eastAsia="Times New Roman" w:hAnsi="Cambria" w:cs="Times New Roman"/>
          <w:b/>
          <w:sz w:val="28"/>
          <w:szCs w:val="28"/>
        </w:rPr>
      </w:pPr>
    </w:p>
    <w:p w14:paraId="02957195" w14:textId="2B3F1C3A" w:rsidR="002F3C19" w:rsidRPr="001B278F" w:rsidRDefault="002F3C19" w:rsidP="0008751F">
      <w:pPr>
        <w:shd w:val="clear" w:color="auto" w:fill="FFFFFF"/>
        <w:spacing w:after="0" w:line="240" w:lineRule="auto"/>
        <w:jc w:val="center"/>
        <w:rPr>
          <w:rFonts w:ascii="Cambria" w:eastAsia="Times New Roman" w:hAnsi="Cambria" w:cs="Times New Roman"/>
          <w:b/>
          <w:sz w:val="28"/>
          <w:szCs w:val="28"/>
        </w:rPr>
      </w:pPr>
      <w:r w:rsidRPr="001B278F">
        <w:rPr>
          <w:rFonts w:ascii="Cambria" w:eastAsia="Times New Roman" w:hAnsi="Cambria" w:cs="Times New Roman"/>
          <w:b/>
          <w:sz w:val="28"/>
          <w:szCs w:val="28"/>
        </w:rPr>
        <w:t>COVID-19 Impacts on Arkansas’ Agricultural and Rural Economies</w:t>
      </w:r>
    </w:p>
    <w:p w14:paraId="3A330B50" w14:textId="77777777" w:rsidR="002F3C19" w:rsidRPr="001B278F" w:rsidRDefault="002F3C19" w:rsidP="002F3C19">
      <w:pPr>
        <w:shd w:val="clear" w:color="auto" w:fill="FFFFFF"/>
        <w:spacing w:after="0" w:line="240" w:lineRule="auto"/>
        <w:jc w:val="center"/>
        <w:rPr>
          <w:rFonts w:ascii="Cambria" w:eastAsia="Times New Roman" w:hAnsi="Cambria" w:cs="Times New Roman"/>
          <w:b/>
        </w:rPr>
      </w:pPr>
    </w:p>
    <w:p w14:paraId="5345E005" w14:textId="77777777" w:rsidR="00FF0C3E" w:rsidRPr="001B278F" w:rsidRDefault="00FF0C3E" w:rsidP="002F3C19">
      <w:pPr>
        <w:shd w:val="clear" w:color="auto" w:fill="FFFFFF"/>
        <w:spacing w:after="0" w:line="240" w:lineRule="auto"/>
        <w:jc w:val="center"/>
        <w:rPr>
          <w:rFonts w:ascii="Cambria" w:eastAsia="Times New Roman" w:hAnsi="Cambria" w:cs="Times New Roman"/>
          <w:b/>
        </w:rPr>
      </w:pPr>
    </w:p>
    <w:p w14:paraId="3AAFF622" w14:textId="7B671A8E" w:rsidR="002F3C19" w:rsidRPr="001B278F" w:rsidRDefault="002F3C19" w:rsidP="00A2074D">
      <w:pPr>
        <w:shd w:val="clear" w:color="auto" w:fill="FFFFFF"/>
        <w:spacing w:after="0" w:line="240" w:lineRule="auto"/>
        <w:jc w:val="center"/>
        <w:rPr>
          <w:rFonts w:ascii="Cambria" w:eastAsia="Times New Roman" w:hAnsi="Cambria" w:cs="Times New Roman"/>
          <w:b/>
          <w:sz w:val="52"/>
          <w:szCs w:val="52"/>
        </w:rPr>
      </w:pPr>
      <w:r w:rsidRPr="001B278F">
        <w:rPr>
          <w:rFonts w:ascii="Cambria" w:eastAsia="Times New Roman" w:hAnsi="Cambria" w:cs="Times New Roman"/>
          <w:b/>
          <w:sz w:val="52"/>
          <w:szCs w:val="52"/>
        </w:rPr>
        <w:t xml:space="preserve">UPDATE: </w:t>
      </w:r>
      <w:r w:rsidR="000D3116" w:rsidRPr="000D3116">
        <w:rPr>
          <w:rFonts w:ascii="Cambria" w:eastAsia="Times New Roman" w:hAnsi="Cambria" w:cs="Times New Roman"/>
          <w:b/>
          <w:sz w:val="52"/>
          <w:szCs w:val="52"/>
        </w:rPr>
        <w:t>Pandemic Assistance for</w:t>
      </w:r>
      <w:r w:rsidR="000D3116">
        <w:rPr>
          <w:rFonts w:ascii="Cambria" w:eastAsia="Times New Roman" w:hAnsi="Cambria" w:cs="Times New Roman"/>
          <w:b/>
          <w:sz w:val="52"/>
          <w:szCs w:val="52"/>
        </w:rPr>
        <w:t xml:space="preserve"> Contract</w:t>
      </w:r>
      <w:r w:rsidR="000D3116" w:rsidRPr="000D3116">
        <w:rPr>
          <w:rFonts w:ascii="Cambria" w:eastAsia="Times New Roman" w:hAnsi="Cambria" w:cs="Times New Roman"/>
          <w:b/>
          <w:sz w:val="52"/>
          <w:szCs w:val="52"/>
        </w:rPr>
        <w:t xml:space="preserve"> Poultry </w:t>
      </w:r>
      <w:r w:rsidR="000D3116">
        <w:rPr>
          <w:rFonts w:ascii="Cambria" w:eastAsia="Times New Roman" w:hAnsi="Cambria" w:cs="Times New Roman"/>
          <w:b/>
          <w:sz w:val="52"/>
          <w:szCs w:val="52"/>
        </w:rPr>
        <w:t>Grow</w:t>
      </w:r>
      <w:r w:rsidR="000D3116" w:rsidRPr="000D3116">
        <w:rPr>
          <w:rFonts w:ascii="Cambria" w:eastAsia="Times New Roman" w:hAnsi="Cambria" w:cs="Times New Roman"/>
          <w:b/>
          <w:sz w:val="52"/>
          <w:szCs w:val="52"/>
        </w:rPr>
        <w:t>ers</w:t>
      </w:r>
    </w:p>
    <w:p w14:paraId="0B8259C9" w14:textId="77777777" w:rsidR="002F3C19" w:rsidRPr="001B278F" w:rsidRDefault="002F3C19" w:rsidP="002F3C19">
      <w:pPr>
        <w:shd w:val="clear" w:color="auto" w:fill="FFFFFF"/>
        <w:spacing w:after="0" w:line="240" w:lineRule="auto"/>
        <w:rPr>
          <w:rFonts w:ascii="Cambria" w:eastAsia="Times New Roman" w:hAnsi="Cambria" w:cs="Times New Roman"/>
          <w:b/>
        </w:rPr>
      </w:pPr>
    </w:p>
    <w:p w14:paraId="22BB28EC" w14:textId="77777777" w:rsidR="002F3C19" w:rsidRPr="001B278F" w:rsidRDefault="002F3C19" w:rsidP="002F3C19">
      <w:pPr>
        <w:shd w:val="clear" w:color="auto" w:fill="FFFFFF"/>
        <w:spacing w:after="0" w:line="240" w:lineRule="auto"/>
        <w:rPr>
          <w:rFonts w:ascii="Cambria" w:eastAsia="Times New Roman" w:hAnsi="Cambria" w:cs="Times New Roman"/>
          <w:b/>
        </w:rPr>
      </w:pPr>
    </w:p>
    <w:p w14:paraId="011DA25B" w14:textId="77777777" w:rsidR="002F3C19" w:rsidRPr="001B278F" w:rsidRDefault="002F3C19" w:rsidP="002F3C19">
      <w:pPr>
        <w:shd w:val="clear" w:color="auto" w:fill="FFFFFF"/>
        <w:spacing w:after="0" w:line="240" w:lineRule="auto"/>
        <w:jc w:val="center"/>
        <w:rPr>
          <w:rFonts w:ascii="Cambria" w:eastAsia="Times New Roman" w:hAnsi="Cambria" w:cs="Times New Roman"/>
          <w:b/>
        </w:rPr>
      </w:pPr>
      <w:r w:rsidRPr="001B278F">
        <w:rPr>
          <w:rFonts w:ascii="Cambria" w:eastAsia="Times New Roman" w:hAnsi="Cambria" w:cs="Times New Roman"/>
          <w:b/>
        </w:rPr>
        <w:t>Prepared by:</w:t>
      </w:r>
    </w:p>
    <w:p w14:paraId="68EA2E82" w14:textId="77777777" w:rsidR="002F3C19" w:rsidRPr="001B278F" w:rsidRDefault="002F3C19" w:rsidP="002F3C19">
      <w:pPr>
        <w:shd w:val="clear" w:color="auto" w:fill="FFFFFF"/>
        <w:spacing w:after="0" w:line="240" w:lineRule="auto"/>
        <w:jc w:val="center"/>
        <w:rPr>
          <w:rFonts w:ascii="Cambria" w:eastAsia="Times New Roman" w:hAnsi="Cambria" w:cs="Times New Roman"/>
          <w:b/>
        </w:rPr>
      </w:pPr>
    </w:p>
    <w:p w14:paraId="7B072CEE" w14:textId="77777777" w:rsidR="002F3C19" w:rsidRPr="001B278F" w:rsidRDefault="002F3C19" w:rsidP="002F3C19">
      <w:pPr>
        <w:shd w:val="clear" w:color="auto" w:fill="FFFFFF"/>
        <w:spacing w:after="0" w:line="240" w:lineRule="auto"/>
        <w:jc w:val="center"/>
        <w:rPr>
          <w:rFonts w:ascii="Cambria" w:eastAsia="Times New Roman" w:hAnsi="Cambria" w:cs="Times New Roman"/>
          <w:b/>
        </w:rPr>
      </w:pPr>
    </w:p>
    <w:p w14:paraId="5D53ADDB" w14:textId="77777777" w:rsidR="002F3C19" w:rsidRPr="001B278F" w:rsidRDefault="002F3C19" w:rsidP="002F3C19">
      <w:pPr>
        <w:shd w:val="clear" w:color="auto" w:fill="FFFFFF"/>
        <w:spacing w:after="0" w:line="240" w:lineRule="auto"/>
        <w:jc w:val="center"/>
        <w:rPr>
          <w:rFonts w:ascii="Cambria" w:eastAsia="Times New Roman" w:hAnsi="Cambria" w:cs="Times New Roman"/>
          <w:b/>
        </w:rPr>
      </w:pPr>
      <w:r w:rsidRPr="001B278F">
        <w:rPr>
          <w:rFonts w:ascii="Cambria" w:eastAsia="Times New Roman" w:hAnsi="Cambria" w:cs="Times New Roman"/>
          <w:b/>
        </w:rPr>
        <w:t>John Anderson</w:t>
      </w:r>
    </w:p>
    <w:p w14:paraId="6E418D16" w14:textId="77777777" w:rsidR="002F3C19" w:rsidRPr="001B278F" w:rsidRDefault="002F3C19" w:rsidP="002F3C19">
      <w:pPr>
        <w:shd w:val="clear" w:color="auto" w:fill="FFFFFF"/>
        <w:spacing w:after="0" w:line="240" w:lineRule="auto"/>
        <w:jc w:val="center"/>
        <w:rPr>
          <w:rFonts w:ascii="Cambria" w:eastAsia="Times New Roman" w:hAnsi="Cambria" w:cs="Times New Roman"/>
          <w:b/>
        </w:rPr>
      </w:pPr>
      <w:r w:rsidRPr="001B278F">
        <w:rPr>
          <w:rFonts w:ascii="Cambria" w:eastAsia="Times New Roman" w:hAnsi="Cambria" w:cs="Times New Roman"/>
          <w:b/>
        </w:rPr>
        <w:t xml:space="preserve">Department of Agricultural Economics and Agribusiness </w:t>
      </w:r>
    </w:p>
    <w:p w14:paraId="63CE7FB9" w14:textId="77777777" w:rsidR="002F3C19" w:rsidRPr="001B278F" w:rsidRDefault="002F3C19" w:rsidP="002F3C19">
      <w:pPr>
        <w:shd w:val="clear" w:color="auto" w:fill="FFFFFF"/>
        <w:spacing w:after="0" w:line="240" w:lineRule="auto"/>
        <w:jc w:val="center"/>
        <w:rPr>
          <w:rFonts w:ascii="Cambria" w:eastAsia="Times New Roman" w:hAnsi="Cambria" w:cs="Times New Roman"/>
          <w:b/>
        </w:rPr>
      </w:pPr>
    </w:p>
    <w:p w14:paraId="0406CA6E" w14:textId="77777777" w:rsidR="002F3C19" w:rsidRPr="001B278F" w:rsidRDefault="002F3C19" w:rsidP="002F3C19">
      <w:pPr>
        <w:shd w:val="clear" w:color="auto" w:fill="FFFFFF"/>
        <w:spacing w:after="0" w:line="240" w:lineRule="auto"/>
        <w:jc w:val="center"/>
        <w:rPr>
          <w:rFonts w:ascii="Cambria" w:eastAsia="Times New Roman" w:hAnsi="Cambria" w:cs="Times New Roman"/>
          <w:b/>
        </w:rPr>
      </w:pPr>
    </w:p>
    <w:p w14:paraId="139098DC" w14:textId="77777777" w:rsidR="002F3C19" w:rsidRPr="001B278F" w:rsidRDefault="002F3C19" w:rsidP="002F3C19">
      <w:pPr>
        <w:shd w:val="clear" w:color="auto" w:fill="FFFFFF"/>
        <w:spacing w:after="0" w:line="240" w:lineRule="auto"/>
        <w:jc w:val="center"/>
        <w:rPr>
          <w:rFonts w:ascii="Cambria" w:eastAsia="Times New Roman" w:hAnsi="Cambria" w:cs="Times New Roman"/>
          <w:b/>
        </w:rPr>
      </w:pPr>
    </w:p>
    <w:p w14:paraId="2D44DA8F" w14:textId="023D4A6A" w:rsidR="002F3C19" w:rsidRPr="001B278F" w:rsidRDefault="000D3116" w:rsidP="002F3C19">
      <w:pPr>
        <w:shd w:val="clear" w:color="auto" w:fill="FFFFFF"/>
        <w:spacing w:after="0" w:line="240" w:lineRule="auto"/>
        <w:jc w:val="center"/>
        <w:rPr>
          <w:rFonts w:ascii="Cambria" w:eastAsia="Times New Roman" w:hAnsi="Cambria" w:cs="Times New Roman"/>
          <w:b/>
        </w:rPr>
      </w:pPr>
      <w:r>
        <w:rPr>
          <w:rFonts w:ascii="Cambria" w:eastAsia="Times New Roman" w:hAnsi="Cambria" w:cs="Times New Roman"/>
          <w:b/>
        </w:rPr>
        <w:t>August 27</w:t>
      </w:r>
      <w:r w:rsidR="002F3C19" w:rsidRPr="001B278F">
        <w:rPr>
          <w:rFonts w:ascii="Cambria" w:eastAsia="Times New Roman" w:hAnsi="Cambria" w:cs="Times New Roman"/>
          <w:b/>
        </w:rPr>
        <w:t>, 202</w:t>
      </w:r>
      <w:r w:rsidR="002A6937" w:rsidRPr="001B278F">
        <w:rPr>
          <w:rFonts w:ascii="Cambria" w:eastAsia="Times New Roman" w:hAnsi="Cambria" w:cs="Times New Roman"/>
          <w:b/>
        </w:rPr>
        <w:t>1</w:t>
      </w:r>
    </w:p>
    <w:p w14:paraId="458160FD" w14:textId="77777777" w:rsidR="002F3C19" w:rsidRPr="001B278F" w:rsidRDefault="002F3C19" w:rsidP="002F3C19">
      <w:pPr>
        <w:shd w:val="clear" w:color="auto" w:fill="FFFFFF"/>
        <w:spacing w:after="0" w:line="240" w:lineRule="auto"/>
        <w:jc w:val="center"/>
        <w:rPr>
          <w:rFonts w:ascii="Cambria" w:eastAsia="Times New Roman" w:hAnsi="Cambria" w:cs="Times New Roman"/>
          <w:b/>
        </w:rPr>
      </w:pPr>
    </w:p>
    <w:p w14:paraId="449EBFA7" w14:textId="77777777" w:rsidR="00435BF4" w:rsidRDefault="002F3C19" w:rsidP="00EB7761">
      <w:pPr>
        <w:rPr>
          <w:rFonts w:ascii="Cambria" w:hAnsi="Cambria"/>
        </w:rPr>
      </w:pPr>
      <w:r w:rsidRPr="001B278F">
        <w:rPr>
          <w:rFonts w:ascii="Cambria" w:hAnsi="Cambria"/>
        </w:rPr>
        <w:br w:type="page"/>
      </w:r>
      <w:r w:rsidR="007D61DF" w:rsidRPr="001B278F">
        <w:rPr>
          <w:rFonts w:ascii="Cambria" w:hAnsi="Cambria"/>
        </w:rPr>
        <w:lastRenderedPageBreak/>
        <w:t>On</w:t>
      </w:r>
      <w:r w:rsidR="00A2074D">
        <w:rPr>
          <w:rFonts w:ascii="Cambria" w:hAnsi="Cambria"/>
        </w:rPr>
        <w:t xml:space="preserve"> </w:t>
      </w:r>
      <w:r w:rsidR="000A7AFC">
        <w:rPr>
          <w:rFonts w:ascii="Cambria" w:hAnsi="Cambria"/>
        </w:rPr>
        <w:t xml:space="preserve">August 24, USDA </w:t>
      </w:r>
      <w:hyperlink r:id="rId9" w:history="1">
        <w:r w:rsidR="000A7AFC" w:rsidRPr="000A7AFC">
          <w:rPr>
            <w:rStyle w:val="Hyperlink"/>
            <w:rFonts w:ascii="Cambria" w:hAnsi="Cambria"/>
          </w:rPr>
          <w:t>announ</w:t>
        </w:r>
        <w:r w:rsidR="000A7AFC" w:rsidRPr="000A7AFC">
          <w:rPr>
            <w:rStyle w:val="Hyperlink"/>
            <w:rFonts w:ascii="Cambria" w:hAnsi="Cambria"/>
          </w:rPr>
          <w:t>c</w:t>
        </w:r>
        <w:r w:rsidR="000A7AFC" w:rsidRPr="000A7AFC">
          <w:rPr>
            <w:rStyle w:val="Hyperlink"/>
            <w:rFonts w:ascii="Cambria" w:hAnsi="Cambria"/>
          </w:rPr>
          <w:t>ed</w:t>
        </w:r>
      </w:hyperlink>
      <w:r w:rsidR="000A7AFC">
        <w:rPr>
          <w:rFonts w:ascii="Cambria" w:hAnsi="Cambria"/>
        </w:rPr>
        <w:t xml:space="preserve"> the availability of pandemic assistance for contract poultry growers under the </w:t>
      </w:r>
      <w:r w:rsidR="000A7AFC" w:rsidRPr="000A7AFC">
        <w:rPr>
          <w:rFonts w:ascii="Cambria" w:hAnsi="Cambria"/>
        </w:rPr>
        <w:t>Coronavirus Food Assistance Program 2 (CFAP 2)</w:t>
      </w:r>
      <w:r w:rsidR="000A7AFC">
        <w:rPr>
          <w:rFonts w:ascii="Cambria" w:hAnsi="Cambria"/>
        </w:rPr>
        <w:t xml:space="preserve"> passed by Congress near the end of 2020.  </w:t>
      </w:r>
      <w:r w:rsidR="00E31942">
        <w:rPr>
          <w:rFonts w:ascii="Cambria" w:hAnsi="Cambria"/>
        </w:rPr>
        <w:t xml:space="preserve">This announcement represents the culmination of several months of work by USDA to redefine program eligibility requirements to include </w:t>
      </w:r>
      <w:r w:rsidR="00E31942" w:rsidRPr="00E31942">
        <w:rPr>
          <w:rFonts w:ascii="Cambria" w:hAnsi="Cambria"/>
        </w:rPr>
        <w:t>contract growers</w:t>
      </w:r>
      <w:r w:rsidR="00E31942">
        <w:rPr>
          <w:rFonts w:ascii="Cambria" w:hAnsi="Cambria"/>
        </w:rPr>
        <w:t xml:space="preserve">, who have not historically been directly eligible for most forms of federal assistance because they do not own the animals they raise.  USDA explained contract grower ineligibility for assistance in the first round of coronavirus relief (CFAP 1) as follows: </w:t>
      </w:r>
      <w:r w:rsidR="00E31942" w:rsidRPr="00E31942">
        <w:rPr>
          <w:rFonts w:ascii="Cambria" w:hAnsi="Cambria"/>
        </w:rPr>
        <w:t>“</w:t>
      </w:r>
      <w:r w:rsidR="00E31942">
        <w:rPr>
          <w:rFonts w:ascii="Cambria" w:hAnsi="Cambria"/>
        </w:rPr>
        <w:t xml:space="preserve">[CFAP 1] </w:t>
      </w:r>
      <w:r w:rsidR="00E31942" w:rsidRPr="00E31942">
        <w:rPr>
          <w:rFonts w:ascii="Cambria" w:hAnsi="Cambria"/>
        </w:rPr>
        <w:t>payments were issued using funds authorized under CCC Charter Act … to assist with the transition to a more orderly marketing system, and swine and poultry contract producers do not ordinarily market the animals they raise</w:t>
      </w:r>
      <w:r w:rsidR="00E31942">
        <w:rPr>
          <w:rFonts w:ascii="Cambria" w:hAnsi="Cambria"/>
        </w:rPr>
        <w:t>” (p. 4888).”</w:t>
      </w:r>
      <w:r w:rsidR="00E31942">
        <w:rPr>
          <w:rStyle w:val="FootnoteReference"/>
          <w:rFonts w:ascii="Cambria" w:hAnsi="Cambria"/>
        </w:rPr>
        <w:footnoteReference w:id="1"/>
      </w:r>
      <w:r w:rsidR="00E31942" w:rsidRPr="00E31942">
        <w:rPr>
          <w:rFonts w:ascii="Cambria" w:hAnsi="Cambria"/>
        </w:rPr>
        <w:t xml:space="preserve">  In other words, contract growers </w:t>
      </w:r>
      <w:r w:rsidR="00E31942">
        <w:rPr>
          <w:rFonts w:ascii="Cambria" w:hAnsi="Cambria"/>
        </w:rPr>
        <w:t>have</w:t>
      </w:r>
      <w:r w:rsidR="00E31942" w:rsidRPr="00E31942">
        <w:rPr>
          <w:rFonts w:ascii="Cambria" w:hAnsi="Cambria"/>
        </w:rPr>
        <w:t xml:space="preserve"> not</w:t>
      </w:r>
      <w:r w:rsidR="00E31942">
        <w:rPr>
          <w:rFonts w:ascii="Cambria" w:hAnsi="Cambria"/>
        </w:rPr>
        <w:t xml:space="preserve"> been</w:t>
      </w:r>
      <w:r w:rsidR="00E31942" w:rsidRPr="00E31942">
        <w:rPr>
          <w:rFonts w:ascii="Cambria" w:hAnsi="Cambria"/>
        </w:rPr>
        <w:t xml:space="preserve"> eligible for assistance under normal federal mechanisms because those mechanisms legally relate to interventions in commodity marketing channels that are not used by contract growers.  USDA has </w:t>
      </w:r>
      <w:r w:rsidR="00E31942">
        <w:rPr>
          <w:rFonts w:ascii="Cambria" w:hAnsi="Cambria"/>
        </w:rPr>
        <w:t xml:space="preserve">had </w:t>
      </w:r>
      <w:r w:rsidR="00E31942" w:rsidRPr="00E31942">
        <w:rPr>
          <w:rFonts w:ascii="Cambria" w:hAnsi="Cambria"/>
        </w:rPr>
        <w:t>no legal mandate to intervene outside of those channels.</w:t>
      </w:r>
      <w:r w:rsidR="00E31942">
        <w:rPr>
          <w:rFonts w:ascii="Cambria" w:hAnsi="Cambria"/>
        </w:rPr>
        <w:t xml:space="preserve">  The inclusion of the contract growers in CFAP 2, and the legal/regulatory adjustments that have been made to allow it, thus represent a significant precedent.</w:t>
      </w:r>
    </w:p>
    <w:p w14:paraId="29400121" w14:textId="5CDBBA6C" w:rsidR="00435BF4" w:rsidRDefault="00435BF4" w:rsidP="00EB7761">
      <w:pPr>
        <w:rPr>
          <w:rFonts w:ascii="Cambria" w:hAnsi="Cambria"/>
        </w:rPr>
      </w:pPr>
      <w:r>
        <w:rPr>
          <w:rFonts w:ascii="Cambria" w:hAnsi="Cambria"/>
        </w:rPr>
        <w:t xml:space="preserve">The pandemic was extremely disruptive to the poultry sector.  As processing operations were slowed down by </w:t>
      </w:r>
      <w:r w:rsidR="00655536">
        <w:rPr>
          <w:rFonts w:ascii="Cambria" w:hAnsi="Cambria"/>
        </w:rPr>
        <w:t xml:space="preserve">pandemic effects – primarily the loss of end markets as food service demand dried up and </w:t>
      </w:r>
      <w:r>
        <w:rPr>
          <w:rFonts w:ascii="Cambria" w:hAnsi="Cambria"/>
        </w:rPr>
        <w:t>labor disruptions</w:t>
      </w:r>
      <w:r w:rsidR="00655536">
        <w:rPr>
          <w:rFonts w:ascii="Cambria" w:hAnsi="Cambria"/>
        </w:rPr>
        <w:t xml:space="preserve"> due to illness and/or quarantines – throughput was slowed along the entire supply chain.  For growers, the effect of this situation was, in many cases, a reduction in birds delivered and, as a result, lower revenue.  The impacts on individual grower operations were potentially severe.  A study by Anderson and Maples concluded that a one-flock reduction in annual throughput would reduce farm revenue by about 43 cents per square foot of grow-out space – about $60,000 on a typical four-house production unit.</w:t>
      </w:r>
      <w:r w:rsidR="00655536">
        <w:rPr>
          <w:rStyle w:val="FootnoteReference"/>
          <w:rFonts w:ascii="Cambria" w:hAnsi="Cambria"/>
        </w:rPr>
        <w:footnoteReference w:id="2"/>
      </w:r>
      <w:r w:rsidR="00655536">
        <w:rPr>
          <w:rFonts w:ascii="Cambria" w:hAnsi="Cambria"/>
        </w:rPr>
        <w:t xml:space="preserve">  In light of this potential for such significant losses, the new eligibility for assistance under CFAP 2 is an important development for the industry.</w:t>
      </w:r>
    </w:p>
    <w:p w14:paraId="4FAD8C4C" w14:textId="192B3293" w:rsidR="0025698D" w:rsidRDefault="0025698D" w:rsidP="00EB7761">
      <w:pPr>
        <w:rPr>
          <w:rFonts w:ascii="Cambria" w:hAnsi="Cambria"/>
        </w:rPr>
      </w:pPr>
      <w:r>
        <w:rPr>
          <w:rFonts w:ascii="Cambria" w:hAnsi="Cambria"/>
        </w:rPr>
        <w:t xml:space="preserve">Up to $1 billion has been allocated through the Consolidated Appropriations Act of 2021 to provide CFAP 2 payments to contact growers.  This includes not only contract broiler growers but also contract growers of other poultry (pullets, layers, eggs, turkeys, ducks, geese, and pheasants and quail) as well as hogs and pigs.  To calculate payments under the program, contract growers will compare eligible revenue from January 1, 2020 through December 27, 2020 with eligible revenue from that same date range in a base year – the grower may select between 2018 or 2019.  Growers will receive 80% of any revenue loss between 2020 and their chosen base year.  </w:t>
      </w:r>
      <w:r w:rsidR="00EB7761">
        <w:rPr>
          <w:rFonts w:ascii="Cambria" w:hAnsi="Cambria"/>
        </w:rPr>
        <w:t>For purposes of CFAP 2 assistance payments, “eligible revenue” is defined as “</w:t>
      </w:r>
      <w:r w:rsidR="00EB7761" w:rsidRPr="00EB7761">
        <w:rPr>
          <w:rFonts w:ascii="Cambria" w:hAnsi="Cambria"/>
        </w:rPr>
        <w:t>revenue received by a contract producer for</w:t>
      </w:r>
      <w:r w:rsidR="00EB7761">
        <w:rPr>
          <w:rFonts w:ascii="Cambria" w:hAnsi="Cambria"/>
        </w:rPr>
        <w:t xml:space="preserve"> </w:t>
      </w:r>
      <w:r w:rsidR="00EB7761" w:rsidRPr="00EB7761">
        <w:rPr>
          <w:rFonts w:ascii="Cambria" w:hAnsi="Cambria"/>
        </w:rPr>
        <w:t xml:space="preserve">contract production of </w:t>
      </w:r>
      <w:r w:rsidR="00EB7761">
        <w:rPr>
          <w:rFonts w:ascii="Cambria" w:hAnsi="Cambria"/>
        </w:rPr>
        <w:t xml:space="preserve">eligible contract livestock or poultry </w:t>
      </w:r>
      <w:r w:rsidR="00EB7761" w:rsidRPr="00EB7761">
        <w:rPr>
          <w:rFonts w:ascii="Cambria" w:hAnsi="Cambria"/>
        </w:rPr>
        <w:t>as reported on Internal Revenue Service Form 1099</w:t>
      </w:r>
      <w:r w:rsidR="00EB7761">
        <w:rPr>
          <w:rFonts w:ascii="Cambria" w:hAnsi="Cambria"/>
        </w:rPr>
        <w:t xml:space="preserve">” (p. 48017), so essentially </w:t>
      </w:r>
      <w:r w:rsidR="008178D8">
        <w:rPr>
          <w:rFonts w:ascii="Cambria" w:hAnsi="Cambria"/>
        </w:rPr>
        <w:t>whatever revenue is reported to the grower on the annual 1099 form</w:t>
      </w:r>
      <w:r w:rsidR="008178D8" w:rsidRPr="008178D8">
        <w:rPr>
          <w:rFonts w:ascii="Cambria" w:hAnsi="Cambria"/>
        </w:rPr>
        <w:t xml:space="preserve"> </w:t>
      </w:r>
      <w:r w:rsidR="008178D8">
        <w:rPr>
          <w:rFonts w:ascii="Cambria" w:hAnsi="Cambria"/>
        </w:rPr>
        <w:t>received from their integrator</w:t>
      </w:r>
      <w:r w:rsidR="00EB7761" w:rsidRPr="00EB7761">
        <w:rPr>
          <w:rFonts w:ascii="Cambria" w:hAnsi="Cambria"/>
        </w:rPr>
        <w:t>.</w:t>
      </w:r>
      <w:r w:rsidR="00EB7761">
        <w:rPr>
          <w:rStyle w:val="FootnoteReference"/>
          <w:rFonts w:ascii="Cambria" w:hAnsi="Cambria"/>
        </w:rPr>
        <w:footnoteReference w:id="3"/>
      </w:r>
    </w:p>
    <w:p w14:paraId="63AC6544" w14:textId="66FA424C" w:rsidR="009567CA" w:rsidRDefault="008178D8" w:rsidP="000A7AFC">
      <w:pPr>
        <w:rPr>
          <w:rFonts w:ascii="Cambria" w:hAnsi="Cambria"/>
        </w:rPr>
      </w:pPr>
      <w:r>
        <w:rPr>
          <w:rFonts w:ascii="Cambria" w:hAnsi="Cambria"/>
        </w:rPr>
        <w:t>Growers can sign</w:t>
      </w:r>
      <w:r w:rsidR="00FC36A7">
        <w:rPr>
          <w:rFonts w:ascii="Cambria" w:hAnsi="Cambria"/>
        </w:rPr>
        <w:t xml:space="preserve"> u</w:t>
      </w:r>
      <w:r>
        <w:rPr>
          <w:rFonts w:ascii="Cambria" w:hAnsi="Cambria"/>
        </w:rPr>
        <w:t xml:space="preserve">p for this program by completing a CFAP 2 application at their local Farm Service Agency (FSA) office.  If growers have already completed a CFAP 2 application based on their </w:t>
      </w:r>
      <w:r>
        <w:rPr>
          <w:rFonts w:ascii="Cambria" w:hAnsi="Cambria"/>
        </w:rPr>
        <w:lastRenderedPageBreak/>
        <w:t>previous eligibility related to other crops or livestock, they will still need to contact their FSA office to amend that application to account for their contract production.  Sign-up for CFAP 2 ends on October 12.  All new applications or amendments to existing applications have to be completed by that deadline</w:t>
      </w:r>
      <w:r w:rsidR="009567CA">
        <w:rPr>
          <w:rFonts w:ascii="Cambria" w:hAnsi="Cambria"/>
        </w:rPr>
        <w:t>.</w:t>
      </w:r>
    </w:p>
    <w:p w14:paraId="427862CE" w14:textId="5CC3EEC8" w:rsidR="00E31942" w:rsidRPr="006C7D8F" w:rsidRDefault="008178D8" w:rsidP="000A7AFC">
      <w:pPr>
        <w:rPr>
          <w:rFonts w:ascii="Cambria" w:hAnsi="Cambria"/>
          <w:color w:val="808080" w:themeColor="background1" w:themeShade="80"/>
        </w:rPr>
      </w:pPr>
      <w:r w:rsidRPr="006C7D8F">
        <w:rPr>
          <w:rFonts w:ascii="Cambria" w:hAnsi="Cambria"/>
          <w:color w:val="808080" w:themeColor="background1" w:themeShade="80"/>
        </w:rPr>
        <w:t xml:space="preserve"> </w:t>
      </w:r>
    </w:p>
    <w:p w14:paraId="234611A9" w14:textId="77777777" w:rsidR="001D125E" w:rsidRPr="006C7D8F" w:rsidRDefault="001D125E" w:rsidP="001D125E">
      <w:pPr>
        <w:rPr>
          <w:rFonts w:ascii="Cambria" w:hAnsi="Cambria" w:cs="Arial"/>
          <w:color w:val="808080" w:themeColor="background1" w:themeShade="80"/>
        </w:rPr>
      </w:pPr>
      <w:r w:rsidRPr="006C7D8F">
        <w:rPr>
          <w:rFonts w:ascii="Cambria" w:hAnsi="Cambria" w:cs="Arial"/>
          <w:color w:val="808080" w:themeColor="background1" w:themeShade="80"/>
        </w:rPr>
        <w:t>The University of Arkansas System Division of Agriculture offers all its Extension and Research programs and services without regard to race, color, sex, gender identity, sexual orientation, national origin, religion, age, disability, marital or veteran status, genetic information, or any other legally protected status, and is an Affirmative Action/Equal Opportunity Employer.</w:t>
      </w:r>
    </w:p>
    <w:p w14:paraId="0F8D78F0" w14:textId="17881C44" w:rsidR="001D0586" w:rsidRPr="001B278F" w:rsidRDefault="001D0586" w:rsidP="00A2074D">
      <w:pPr>
        <w:rPr>
          <w:rFonts w:ascii="Cambria" w:hAnsi="Cambria"/>
        </w:rPr>
      </w:pPr>
    </w:p>
    <w:sectPr w:rsidR="001D0586" w:rsidRPr="001B278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F7CBB2" w14:textId="77777777" w:rsidR="00B8325E" w:rsidRDefault="00B8325E" w:rsidP="00D74E92">
      <w:pPr>
        <w:spacing w:after="0" w:line="240" w:lineRule="auto"/>
      </w:pPr>
      <w:r>
        <w:separator/>
      </w:r>
    </w:p>
  </w:endnote>
  <w:endnote w:type="continuationSeparator" w:id="0">
    <w:p w14:paraId="27994E5B" w14:textId="77777777" w:rsidR="00B8325E" w:rsidRDefault="00B8325E" w:rsidP="00D74E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2C5378" w14:textId="77777777" w:rsidR="00B8325E" w:rsidRDefault="00B8325E" w:rsidP="00D74E92">
      <w:pPr>
        <w:spacing w:after="0" w:line="240" w:lineRule="auto"/>
      </w:pPr>
      <w:r>
        <w:separator/>
      </w:r>
    </w:p>
  </w:footnote>
  <w:footnote w:type="continuationSeparator" w:id="0">
    <w:p w14:paraId="30C92BA4" w14:textId="77777777" w:rsidR="00B8325E" w:rsidRDefault="00B8325E" w:rsidP="00D74E92">
      <w:pPr>
        <w:spacing w:after="0" w:line="240" w:lineRule="auto"/>
      </w:pPr>
      <w:r>
        <w:continuationSeparator/>
      </w:r>
    </w:p>
  </w:footnote>
  <w:footnote w:id="1">
    <w:p w14:paraId="05C1CDF1" w14:textId="5F9F5F8C" w:rsidR="00E31942" w:rsidRDefault="00E31942" w:rsidP="00E31942">
      <w:pPr>
        <w:pStyle w:val="FootnoteText"/>
        <w:ind w:firstLine="1080"/>
      </w:pPr>
      <w:r>
        <w:rPr>
          <w:rStyle w:val="FootnoteReference"/>
        </w:rPr>
        <w:footnoteRef/>
      </w:r>
      <w:r>
        <w:t xml:space="preserve"> </w:t>
      </w:r>
      <w:bookmarkStart w:id="0" w:name="_Hlk80957638"/>
      <w:r w:rsidRPr="00E31942">
        <w:t xml:space="preserve">U.S. Department of Agriculture, Office of the Secretary. 2021. “Coronavirus Food Assistance Program; Additional Assistance.” </w:t>
      </w:r>
      <w:r w:rsidRPr="00EB7761">
        <w:rPr>
          <w:i/>
        </w:rPr>
        <w:t>Federal Register</w:t>
      </w:r>
      <w:r w:rsidRPr="00E31942">
        <w:t xml:space="preserve"> 86, 11(Tuesday, January 19): 4877-4883.</w:t>
      </w:r>
      <w:bookmarkEnd w:id="0"/>
    </w:p>
  </w:footnote>
  <w:footnote w:id="2">
    <w:p w14:paraId="748BB00D" w14:textId="0210F29E" w:rsidR="00655536" w:rsidRDefault="00655536" w:rsidP="00655536">
      <w:pPr>
        <w:pStyle w:val="FootnoteText"/>
        <w:ind w:firstLine="1080"/>
      </w:pPr>
      <w:r>
        <w:rPr>
          <w:rStyle w:val="FootnoteReference"/>
        </w:rPr>
        <w:footnoteRef/>
      </w:r>
      <w:r>
        <w:t xml:space="preserve"> Anderson, J. D. and J. G. Maples. 2020. “Farm-Level Financial Impacts on Contract Broiler Growers of Production Losses through Increased Out Time between Flocks.”  University of Arkansas System Division of Agriculture.  AEAB Staff Paper SP 03 2020.  </w:t>
      </w:r>
    </w:p>
  </w:footnote>
  <w:footnote w:id="3">
    <w:p w14:paraId="574F9D70" w14:textId="456ADAB2" w:rsidR="00EB7761" w:rsidRDefault="00EB7761" w:rsidP="00EB7761">
      <w:pPr>
        <w:pStyle w:val="FootnoteText"/>
        <w:ind w:firstLine="1080"/>
      </w:pPr>
      <w:r>
        <w:rPr>
          <w:rStyle w:val="FootnoteReference"/>
        </w:rPr>
        <w:footnoteRef/>
      </w:r>
      <w:r>
        <w:t xml:space="preserve"> </w:t>
      </w:r>
      <w:r w:rsidRPr="00EB7761">
        <w:t xml:space="preserve">  U.S. Department of Agriculture, Office of the Secretary. 2021. “Coronavirus Food Assistance Program</w:t>
      </w:r>
      <w:r>
        <w:t xml:space="preserve"> 2</w:t>
      </w:r>
      <w:r w:rsidRPr="00EB7761">
        <w:t xml:space="preserve">; </w:t>
      </w:r>
      <w:r>
        <w:t>Producers of Sale-Based Commodities and Contract Producers</w:t>
      </w:r>
      <w:r w:rsidRPr="00EB7761">
        <w:t xml:space="preserve">.” </w:t>
      </w:r>
      <w:r w:rsidRPr="00EB7761">
        <w:rPr>
          <w:i/>
        </w:rPr>
        <w:t>Federal Register</w:t>
      </w:r>
      <w:r w:rsidRPr="00EB7761">
        <w:t xml:space="preserve"> 86, 1</w:t>
      </w:r>
      <w:r>
        <w:t>64</w:t>
      </w:r>
      <w:r w:rsidRPr="00EB7761">
        <w:t>(</w:t>
      </w:r>
      <w:r>
        <w:t>Friday</w:t>
      </w:r>
      <w:r w:rsidRPr="00EB7761">
        <w:t xml:space="preserve">, </w:t>
      </w:r>
      <w:r>
        <w:t>August 27</w:t>
      </w:r>
      <w:r w:rsidRPr="00EB7761">
        <w:t>): 48</w:t>
      </w:r>
      <w:r>
        <w:t>013</w:t>
      </w:r>
      <w:r w:rsidRPr="00EB7761">
        <w:t>-48</w:t>
      </w:r>
      <w:r>
        <w:t>01</w:t>
      </w:r>
      <w:r w:rsidRPr="00EB7761">
        <w:t>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14762C9"/>
    <w:multiLevelType w:val="hybridMultilevel"/>
    <w:tmpl w:val="61300B6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1A02890"/>
    <w:multiLevelType w:val="hybridMultilevel"/>
    <w:tmpl w:val="250A4AE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73A12E1"/>
    <w:multiLevelType w:val="hybridMultilevel"/>
    <w:tmpl w:val="36F00F1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3C19"/>
    <w:rsid w:val="00016281"/>
    <w:rsid w:val="0008751F"/>
    <w:rsid w:val="000938D7"/>
    <w:rsid w:val="000A73DD"/>
    <w:rsid w:val="000A7AFC"/>
    <w:rsid w:val="000C0A91"/>
    <w:rsid w:val="000C47FD"/>
    <w:rsid w:val="000D3116"/>
    <w:rsid w:val="000F03B3"/>
    <w:rsid w:val="000F26EF"/>
    <w:rsid w:val="000F7E8E"/>
    <w:rsid w:val="0010790D"/>
    <w:rsid w:val="00111B73"/>
    <w:rsid w:val="00132AF0"/>
    <w:rsid w:val="0016274A"/>
    <w:rsid w:val="00165B26"/>
    <w:rsid w:val="001762D9"/>
    <w:rsid w:val="00181DF4"/>
    <w:rsid w:val="00187436"/>
    <w:rsid w:val="00194934"/>
    <w:rsid w:val="001B0892"/>
    <w:rsid w:val="001B278F"/>
    <w:rsid w:val="001D0586"/>
    <w:rsid w:val="001D125E"/>
    <w:rsid w:val="001D71B7"/>
    <w:rsid w:val="001D7BE1"/>
    <w:rsid w:val="001E1575"/>
    <w:rsid w:val="001F6305"/>
    <w:rsid w:val="00240008"/>
    <w:rsid w:val="00244041"/>
    <w:rsid w:val="00253CD0"/>
    <w:rsid w:val="0025698D"/>
    <w:rsid w:val="002711FA"/>
    <w:rsid w:val="00275746"/>
    <w:rsid w:val="0027667F"/>
    <w:rsid w:val="00280B58"/>
    <w:rsid w:val="0028267D"/>
    <w:rsid w:val="00292996"/>
    <w:rsid w:val="00293A06"/>
    <w:rsid w:val="002A43F1"/>
    <w:rsid w:val="002A6937"/>
    <w:rsid w:val="002B70D0"/>
    <w:rsid w:val="002B7FEC"/>
    <w:rsid w:val="002C36A3"/>
    <w:rsid w:val="002D682D"/>
    <w:rsid w:val="002F3C19"/>
    <w:rsid w:val="002F57A8"/>
    <w:rsid w:val="0030524B"/>
    <w:rsid w:val="003060D8"/>
    <w:rsid w:val="00307E8B"/>
    <w:rsid w:val="00322E79"/>
    <w:rsid w:val="00323F35"/>
    <w:rsid w:val="00333AF4"/>
    <w:rsid w:val="00333BAE"/>
    <w:rsid w:val="00362BA5"/>
    <w:rsid w:val="003A0A09"/>
    <w:rsid w:val="003C2808"/>
    <w:rsid w:val="003C7676"/>
    <w:rsid w:val="003F34BC"/>
    <w:rsid w:val="00401807"/>
    <w:rsid w:val="00431C51"/>
    <w:rsid w:val="00435BF4"/>
    <w:rsid w:val="004413A3"/>
    <w:rsid w:val="00456DC6"/>
    <w:rsid w:val="00476712"/>
    <w:rsid w:val="00480448"/>
    <w:rsid w:val="00480567"/>
    <w:rsid w:val="00481294"/>
    <w:rsid w:val="00486133"/>
    <w:rsid w:val="004A3E20"/>
    <w:rsid w:val="004B57FA"/>
    <w:rsid w:val="004B5A32"/>
    <w:rsid w:val="004C0210"/>
    <w:rsid w:val="004C3757"/>
    <w:rsid w:val="004C59B9"/>
    <w:rsid w:val="004C6C8D"/>
    <w:rsid w:val="004C721C"/>
    <w:rsid w:val="004E3521"/>
    <w:rsid w:val="004E5BA7"/>
    <w:rsid w:val="004F2F65"/>
    <w:rsid w:val="004F6C45"/>
    <w:rsid w:val="0051289D"/>
    <w:rsid w:val="00516C3E"/>
    <w:rsid w:val="0051736B"/>
    <w:rsid w:val="00536775"/>
    <w:rsid w:val="0054692A"/>
    <w:rsid w:val="005871CD"/>
    <w:rsid w:val="005A3638"/>
    <w:rsid w:val="005A4C1F"/>
    <w:rsid w:val="005B0E04"/>
    <w:rsid w:val="005C1F48"/>
    <w:rsid w:val="005D17DA"/>
    <w:rsid w:val="005D38AC"/>
    <w:rsid w:val="00612661"/>
    <w:rsid w:val="00613267"/>
    <w:rsid w:val="00655536"/>
    <w:rsid w:val="00671A66"/>
    <w:rsid w:val="00673DA9"/>
    <w:rsid w:val="00697537"/>
    <w:rsid w:val="006B4454"/>
    <w:rsid w:val="006C7D8F"/>
    <w:rsid w:val="006D7F3A"/>
    <w:rsid w:val="00733D1C"/>
    <w:rsid w:val="00777F8D"/>
    <w:rsid w:val="00791760"/>
    <w:rsid w:val="007956EE"/>
    <w:rsid w:val="007B38CD"/>
    <w:rsid w:val="007C7A27"/>
    <w:rsid w:val="007D1212"/>
    <w:rsid w:val="007D1E45"/>
    <w:rsid w:val="007D61DF"/>
    <w:rsid w:val="007F5A57"/>
    <w:rsid w:val="00802549"/>
    <w:rsid w:val="008178D8"/>
    <w:rsid w:val="00820D8E"/>
    <w:rsid w:val="008330E1"/>
    <w:rsid w:val="008335C6"/>
    <w:rsid w:val="00840352"/>
    <w:rsid w:val="00865D82"/>
    <w:rsid w:val="008A0499"/>
    <w:rsid w:val="008A19BD"/>
    <w:rsid w:val="008A5679"/>
    <w:rsid w:val="008A6467"/>
    <w:rsid w:val="008B30C4"/>
    <w:rsid w:val="008F1479"/>
    <w:rsid w:val="009006CE"/>
    <w:rsid w:val="009539D3"/>
    <w:rsid w:val="009567CA"/>
    <w:rsid w:val="00957B23"/>
    <w:rsid w:val="009A1BA5"/>
    <w:rsid w:val="009D0CB6"/>
    <w:rsid w:val="009F02F5"/>
    <w:rsid w:val="00A127C9"/>
    <w:rsid w:val="00A17B9A"/>
    <w:rsid w:val="00A2074D"/>
    <w:rsid w:val="00A31710"/>
    <w:rsid w:val="00A36C5F"/>
    <w:rsid w:val="00A5247D"/>
    <w:rsid w:val="00AA597D"/>
    <w:rsid w:val="00AD0836"/>
    <w:rsid w:val="00AD3E25"/>
    <w:rsid w:val="00AD4FA6"/>
    <w:rsid w:val="00B153C2"/>
    <w:rsid w:val="00B33838"/>
    <w:rsid w:val="00B44DE0"/>
    <w:rsid w:val="00B54831"/>
    <w:rsid w:val="00B65108"/>
    <w:rsid w:val="00B710BB"/>
    <w:rsid w:val="00B8325E"/>
    <w:rsid w:val="00B91CE5"/>
    <w:rsid w:val="00BC6295"/>
    <w:rsid w:val="00BE2609"/>
    <w:rsid w:val="00C07A0A"/>
    <w:rsid w:val="00C71B1A"/>
    <w:rsid w:val="00C8070B"/>
    <w:rsid w:val="00C82E23"/>
    <w:rsid w:val="00C83593"/>
    <w:rsid w:val="00CF65DE"/>
    <w:rsid w:val="00D060FE"/>
    <w:rsid w:val="00D20DCE"/>
    <w:rsid w:val="00D272E6"/>
    <w:rsid w:val="00D50A55"/>
    <w:rsid w:val="00D74E92"/>
    <w:rsid w:val="00D801CD"/>
    <w:rsid w:val="00D95B3D"/>
    <w:rsid w:val="00DE3101"/>
    <w:rsid w:val="00DE35EF"/>
    <w:rsid w:val="00DE4406"/>
    <w:rsid w:val="00DF0107"/>
    <w:rsid w:val="00E05DAC"/>
    <w:rsid w:val="00E31942"/>
    <w:rsid w:val="00E450BE"/>
    <w:rsid w:val="00E63E73"/>
    <w:rsid w:val="00E66924"/>
    <w:rsid w:val="00E8763F"/>
    <w:rsid w:val="00EB7761"/>
    <w:rsid w:val="00EC6674"/>
    <w:rsid w:val="00ED2415"/>
    <w:rsid w:val="00EE66DD"/>
    <w:rsid w:val="00F101D4"/>
    <w:rsid w:val="00F21834"/>
    <w:rsid w:val="00F37234"/>
    <w:rsid w:val="00F40345"/>
    <w:rsid w:val="00F60FBB"/>
    <w:rsid w:val="00F66CE1"/>
    <w:rsid w:val="00F75582"/>
    <w:rsid w:val="00FB32FF"/>
    <w:rsid w:val="00FC36A7"/>
    <w:rsid w:val="00FF0C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FB710C"/>
  <w15:chartTrackingRefBased/>
  <w15:docId w15:val="{291F7F8C-2ED3-4956-999F-010B7FAF5B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3C1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A0499"/>
    <w:rPr>
      <w:color w:val="0563C1" w:themeColor="hyperlink"/>
      <w:u w:val="single"/>
    </w:rPr>
  </w:style>
  <w:style w:type="character" w:styleId="UnresolvedMention">
    <w:name w:val="Unresolved Mention"/>
    <w:basedOn w:val="DefaultParagraphFont"/>
    <w:uiPriority w:val="99"/>
    <w:semiHidden/>
    <w:unhideWhenUsed/>
    <w:rsid w:val="005A3638"/>
    <w:rPr>
      <w:color w:val="605E5C"/>
      <w:shd w:val="clear" w:color="auto" w:fill="E1DFDD"/>
    </w:rPr>
  </w:style>
  <w:style w:type="character" w:styleId="FollowedHyperlink">
    <w:name w:val="FollowedHyperlink"/>
    <w:basedOn w:val="DefaultParagraphFont"/>
    <w:uiPriority w:val="99"/>
    <w:semiHidden/>
    <w:unhideWhenUsed/>
    <w:rsid w:val="00481294"/>
    <w:rPr>
      <w:color w:val="954F72" w:themeColor="followedHyperlink"/>
      <w:u w:val="single"/>
    </w:rPr>
  </w:style>
  <w:style w:type="paragraph" w:styleId="ListParagraph">
    <w:name w:val="List Paragraph"/>
    <w:basedOn w:val="Normal"/>
    <w:uiPriority w:val="34"/>
    <w:qFormat/>
    <w:rsid w:val="00F66CE1"/>
    <w:pPr>
      <w:ind w:left="720"/>
      <w:contextualSpacing/>
    </w:pPr>
  </w:style>
  <w:style w:type="character" w:styleId="CommentReference">
    <w:name w:val="annotation reference"/>
    <w:basedOn w:val="DefaultParagraphFont"/>
    <w:uiPriority w:val="99"/>
    <w:semiHidden/>
    <w:unhideWhenUsed/>
    <w:rsid w:val="001762D9"/>
    <w:rPr>
      <w:sz w:val="16"/>
      <w:szCs w:val="16"/>
    </w:rPr>
  </w:style>
  <w:style w:type="paragraph" w:styleId="CommentText">
    <w:name w:val="annotation text"/>
    <w:basedOn w:val="Normal"/>
    <w:link w:val="CommentTextChar"/>
    <w:uiPriority w:val="99"/>
    <w:semiHidden/>
    <w:unhideWhenUsed/>
    <w:rsid w:val="001762D9"/>
    <w:pPr>
      <w:spacing w:line="240" w:lineRule="auto"/>
    </w:pPr>
    <w:rPr>
      <w:sz w:val="20"/>
      <w:szCs w:val="20"/>
    </w:rPr>
  </w:style>
  <w:style w:type="character" w:customStyle="1" w:styleId="CommentTextChar">
    <w:name w:val="Comment Text Char"/>
    <w:basedOn w:val="DefaultParagraphFont"/>
    <w:link w:val="CommentText"/>
    <w:uiPriority w:val="99"/>
    <w:semiHidden/>
    <w:rsid w:val="001762D9"/>
    <w:rPr>
      <w:sz w:val="20"/>
      <w:szCs w:val="20"/>
    </w:rPr>
  </w:style>
  <w:style w:type="paragraph" w:styleId="CommentSubject">
    <w:name w:val="annotation subject"/>
    <w:basedOn w:val="CommentText"/>
    <w:next w:val="CommentText"/>
    <w:link w:val="CommentSubjectChar"/>
    <w:uiPriority w:val="99"/>
    <w:semiHidden/>
    <w:unhideWhenUsed/>
    <w:rsid w:val="001762D9"/>
    <w:rPr>
      <w:b/>
      <w:bCs/>
    </w:rPr>
  </w:style>
  <w:style w:type="character" w:customStyle="1" w:styleId="CommentSubjectChar">
    <w:name w:val="Comment Subject Char"/>
    <w:basedOn w:val="CommentTextChar"/>
    <w:link w:val="CommentSubject"/>
    <w:uiPriority w:val="99"/>
    <w:semiHidden/>
    <w:rsid w:val="001762D9"/>
    <w:rPr>
      <w:b/>
      <w:bCs/>
      <w:sz w:val="20"/>
      <w:szCs w:val="20"/>
    </w:rPr>
  </w:style>
  <w:style w:type="paragraph" w:styleId="BalloonText">
    <w:name w:val="Balloon Text"/>
    <w:basedOn w:val="Normal"/>
    <w:link w:val="BalloonTextChar"/>
    <w:uiPriority w:val="99"/>
    <w:semiHidden/>
    <w:unhideWhenUsed/>
    <w:rsid w:val="001762D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62D9"/>
    <w:rPr>
      <w:rFonts w:ascii="Segoe UI" w:hAnsi="Segoe UI" w:cs="Segoe UI"/>
      <w:sz w:val="18"/>
      <w:szCs w:val="18"/>
    </w:rPr>
  </w:style>
  <w:style w:type="paragraph" w:customStyle="1" w:styleId="xmsonormal">
    <w:name w:val="x_msonormal"/>
    <w:basedOn w:val="Normal"/>
    <w:rsid w:val="00820D8E"/>
    <w:pPr>
      <w:spacing w:before="100" w:beforeAutospacing="1" w:after="100" w:afterAutospacing="1" w:line="240" w:lineRule="auto"/>
    </w:pPr>
    <w:rPr>
      <w:rFonts w:ascii="Times New Roman" w:eastAsiaTheme="minorEastAsia" w:hAnsi="Times New Roman" w:cs="Times New Roman"/>
      <w:sz w:val="24"/>
      <w:szCs w:val="24"/>
    </w:rPr>
  </w:style>
  <w:style w:type="paragraph" w:styleId="FootnoteText">
    <w:name w:val="footnote text"/>
    <w:basedOn w:val="Normal"/>
    <w:link w:val="FootnoteTextChar"/>
    <w:uiPriority w:val="99"/>
    <w:semiHidden/>
    <w:unhideWhenUsed/>
    <w:rsid w:val="00D74E9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74E92"/>
    <w:rPr>
      <w:sz w:val="20"/>
      <w:szCs w:val="20"/>
    </w:rPr>
  </w:style>
  <w:style w:type="character" w:styleId="FootnoteReference">
    <w:name w:val="footnote reference"/>
    <w:basedOn w:val="DefaultParagraphFont"/>
    <w:uiPriority w:val="99"/>
    <w:semiHidden/>
    <w:unhideWhenUsed/>
    <w:rsid w:val="00D74E92"/>
    <w:rPr>
      <w:vertAlign w:val="superscript"/>
    </w:rPr>
  </w:style>
  <w:style w:type="paragraph" w:styleId="EndnoteText">
    <w:name w:val="endnote text"/>
    <w:basedOn w:val="Normal"/>
    <w:link w:val="EndnoteTextChar"/>
    <w:uiPriority w:val="99"/>
    <w:semiHidden/>
    <w:unhideWhenUsed/>
    <w:rsid w:val="00655536"/>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55536"/>
    <w:rPr>
      <w:sz w:val="20"/>
      <w:szCs w:val="20"/>
    </w:rPr>
  </w:style>
  <w:style w:type="character" w:styleId="EndnoteReference">
    <w:name w:val="endnote reference"/>
    <w:basedOn w:val="DefaultParagraphFont"/>
    <w:uiPriority w:val="99"/>
    <w:semiHidden/>
    <w:unhideWhenUsed/>
    <w:rsid w:val="0065553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fsa.usda.gov/news-room/news-releases/2021/usda-updates-pandemic-assistance-for-livestock-poultry-contract-producers-and-specialty-crop-grow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EA4449-D52B-4E1D-A5C9-1E7551214C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673</Words>
  <Characters>3839</Characters>
  <Application>Microsoft Office Word</Application>
  <DocSecurity>0</DocSecurity>
  <Lines>31</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D. Anderson</dc:creator>
  <cp:keywords/>
  <dc:description/>
  <cp:lastModifiedBy>Mary F Hightower</cp:lastModifiedBy>
  <cp:revision>2</cp:revision>
  <dcterms:created xsi:type="dcterms:W3CDTF">2021-08-27T20:38:00Z</dcterms:created>
  <dcterms:modified xsi:type="dcterms:W3CDTF">2021-08-27T20:38:00Z</dcterms:modified>
</cp:coreProperties>
</file>