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B34A" w14:textId="72501F3C" w:rsidR="0037106B" w:rsidRDefault="0037106B" w:rsidP="000051D8">
      <w:pPr>
        <w:shd w:val="clear" w:color="auto" w:fill="FFFFFF"/>
        <w:spacing w:after="0" w:line="240" w:lineRule="auto"/>
        <w:jc w:val="center"/>
        <w:rPr>
          <w:rFonts w:ascii="Cambria" w:eastAsia="Times New Roman" w:hAnsi="Cambria" w:cs="Times New Roman"/>
          <w:b/>
          <w:sz w:val="32"/>
          <w:szCs w:val="32"/>
        </w:rPr>
      </w:pPr>
      <w:r w:rsidRPr="00166A0B">
        <w:rPr>
          <w:rFonts w:ascii="Cambria" w:eastAsia="Times New Roman" w:hAnsi="Cambria" w:cs="Times New Roman"/>
          <w:b/>
          <w:noProof/>
        </w:rPr>
        <w:drawing>
          <wp:inline distT="0" distB="0" distL="0" distR="0" wp14:anchorId="06CB3517" wp14:editId="3CC0633C">
            <wp:extent cx="2566421" cy="490729"/>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olor-left_l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421" cy="490729"/>
                    </a:xfrm>
                    <a:prstGeom prst="rect">
                      <a:avLst/>
                    </a:prstGeom>
                  </pic:spPr>
                </pic:pic>
              </a:graphicData>
            </a:graphic>
          </wp:inline>
        </w:drawing>
      </w:r>
    </w:p>
    <w:p w14:paraId="2E675EB6" w14:textId="77777777" w:rsidR="0037106B" w:rsidRDefault="0037106B" w:rsidP="000051D8">
      <w:pPr>
        <w:shd w:val="clear" w:color="auto" w:fill="FFFFFF"/>
        <w:spacing w:after="0" w:line="240" w:lineRule="auto"/>
        <w:jc w:val="center"/>
        <w:rPr>
          <w:rFonts w:ascii="Cambria" w:eastAsia="Times New Roman" w:hAnsi="Cambria" w:cs="Times New Roman"/>
          <w:b/>
          <w:sz w:val="32"/>
          <w:szCs w:val="32"/>
        </w:rPr>
      </w:pPr>
    </w:p>
    <w:p w14:paraId="4CB47348" w14:textId="77777777" w:rsidR="0037106B" w:rsidRDefault="0037106B" w:rsidP="000051D8">
      <w:pPr>
        <w:shd w:val="clear" w:color="auto" w:fill="FFFFFF"/>
        <w:spacing w:after="0" w:line="240" w:lineRule="auto"/>
        <w:jc w:val="center"/>
        <w:rPr>
          <w:rFonts w:ascii="Cambria" w:eastAsia="Times New Roman" w:hAnsi="Cambria" w:cs="Times New Roman"/>
          <w:b/>
          <w:sz w:val="32"/>
          <w:szCs w:val="32"/>
        </w:rPr>
      </w:pPr>
    </w:p>
    <w:p w14:paraId="0F681615" w14:textId="4EA9371F" w:rsidR="000051D8" w:rsidRPr="0037106B" w:rsidRDefault="000051D8" w:rsidP="000051D8">
      <w:pPr>
        <w:shd w:val="clear" w:color="auto" w:fill="FFFFFF"/>
        <w:spacing w:after="0" w:line="240" w:lineRule="auto"/>
        <w:jc w:val="center"/>
        <w:rPr>
          <w:rFonts w:ascii="Cambria" w:eastAsia="Times New Roman" w:hAnsi="Cambria" w:cs="Times New Roman"/>
          <w:b/>
          <w:sz w:val="32"/>
          <w:szCs w:val="32"/>
        </w:rPr>
      </w:pPr>
      <w:r w:rsidRPr="0037106B">
        <w:rPr>
          <w:rFonts w:ascii="Cambria" w:eastAsia="Times New Roman" w:hAnsi="Cambria" w:cs="Times New Roman"/>
          <w:b/>
          <w:sz w:val="32"/>
          <w:szCs w:val="32"/>
        </w:rPr>
        <w:t>COVID-19 Impacts on Arkansas’ Agricultural and Rural Economies</w:t>
      </w:r>
    </w:p>
    <w:p w14:paraId="2723DC6D"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25CC0F4D" w14:textId="77777777" w:rsidR="000051D8" w:rsidRPr="0037106B" w:rsidRDefault="000051D8" w:rsidP="000051D8">
      <w:pPr>
        <w:shd w:val="clear" w:color="auto" w:fill="FFFFFF"/>
        <w:spacing w:after="0" w:line="240" w:lineRule="auto"/>
        <w:jc w:val="center"/>
        <w:rPr>
          <w:rFonts w:ascii="Cambria" w:eastAsia="Times New Roman" w:hAnsi="Cambria" w:cs="Times New Roman"/>
          <w:b/>
          <w:sz w:val="48"/>
          <w:szCs w:val="48"/>
        </w:rPr>
      </w:pPr>
    </w:p>
    <w:p w14:paraId="2073BE50" w14:textId="77777777" w:rsidR="000051D8" w:rsidRPr="0037106B" w:rsidRDefault="000051D8" w:rsidP="000051D8">
      <w:pPr>
        <w:shd w:val="clear" w:color="auto" w:fill="FFFFFF"/>
        <w:spacing w:after="0" w:line="240" w:lineRule="auto"/>
        <w:jc w:val="center"/>
        <w:rPr>
          <w:rFonts w:ascii="Cambria" w:eastAsia="Times New Roman" w:hAnsi="Cambria" w:cs="Times New Roman"/>
          <w:b/>
          <w:sz w:val="48"/>
          <w:szCs w:val="48"/>
        </w:rPr>
      </w:pPr>
      <w:r w:rsidRPr="0037106B">
        <w:rPr>
          <w:rFonts w:ascii="Cambria" w:eastAsia="Times New Roman" w:hAnsi="Cambria" w:cs="Times New Roman"/>
          <w:b/>
          <w:sz w:val="48"/>
          <w:szCs w:val="48"/>
        </w:rPr>
        <w:t xml:space="preserve">UPDATE: </w:t>
      </w:r>
    </w:p>
    <w:p w14:paraId="1358C587" w14:textId="77777777" w:rsidR="000051D8" w:rsidRPr="0037106B" w:rsidRDefault="002B5166" w:rsidP="000051D8">
      <w:pPr>
        <w:shd w:val="clear" w:color="auto" w:fill="FFFFFF"/>
        <w:spacing w:after="0" w:line="240" w:lineRule="auto"/>
        <w:jc w:val="center"/>
        <w:rPr>
          <w:rFonts w:ascii="Cambria" w:eastAsia="Times New Roman" w:hAnsi="Cambria" w:cs="Times New Roman"/>
          <w:b/>
          <w:sz w:val="48"/>
          <w:szCs w:val="48"/>
        </w:rPr>
      </w:pPr>
      <w:r w:rsidRPr="0037106B">
        <w:rPr>
          <w:rFonts w:ascii="Cambria" w:eastAsia="Times New Roman" w:hAnsi="Cambria" w:cs="Times New Roman"/>
          <w:b/>
          <w:sz w:val="48"/>
          <w:szCs w:val="48"/>
        </w:rPr>
        <w:t>June Personal Consumption Expenditures</w:t>
      </w:r>
    </w:p>
    <w:p w14:paraId="4F9E83F0" w14:textId="77777777" w:rsidR="000051D8" w:rsidRPr="0037106B" w:rsidRDefault="000051D8" w:rsidP="000051D8">
      <w:pPr>
        <w:shd w:val="clear" w:color="auto" w:fill="FFFFFF"/>
        <w:spacing w:after="0" w:line="240" w:lineRule="auto"/>
        <w:rPr>
          <w:rFonts w:ascii="Cambria" w:eastAsia="Times New Roman" w:hAnsi="Cambria" w:cs="Times New Roman"/>
          <w:b/>
        </w:rPr>
      </w:pPr>
    </w:p>
    <w:p w14:paraId="0F387B5C" w14:textId="77777777" w:rsidR="000051D8" w:rsidRPr="0037106B" w:rsidRDefault="000051D8" w:rsidP="000051D8">
      <w:pPr>
        <w:shd w:val="clear" w:color="auto" w:fill="FFFFFF"/>
        <w:spacing w:after="0" w:line="240" w:lineRule="auto"/>
        <w:rPr>
          <w:rFonts w:ascii="Cambria" w:eastAsia="Times New Roman" w:hAnsi="Cambria" w:cs="Times New Roman"/>
          <w:b/>
        </w:rPr>
      </w:pPr>
    </w:p>
    <w:p w14:paraId="04E144DA"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r w:rsidRPr="0037106B">
        <w:rPr>
          <w:rFonts w:ascii="Cambria" w:eastAsia="Times New Roman" w:hAnsi="Cambria" w:cs="Times New Roman"/>
          <w:b/>
        </w:rPr>
        <w:t>Prepared by:</w:t>
      </w:r>
    </w:p>
    <w:p w14:paraId="511B1D29"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183A900E"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19B51A9E"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r w:rsidRPr="0037106B">
        <w:rPr>
          <w:rFonts w:ascii="Cambria" w:eastAsia="Times New Roman" w:hAnsi="Cambria" w:cs="Times New Roman"/>
          <w:b/>
        </w:rPr>
        <w:t>John Anderson</w:t>
      </w:r>
    </w:p>
    <w:p w14:paraId="53CAD559"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r w:rsidRPr="0037106B">
        <w:rPr>
          <w:rFonts w:ascii="Cambria" w:eastAsia="Times New Roman" w:hAnsi="Cambria" w:cs="Times New Roman"/>
          <w:b/>
        </w:rPr>
        <w:t xml:space="preserve">Department of Agricultural Economics and Agribusiness </w:t>
      </w:r>
    </w:p>
    <w:p w14:paraId="276788C8"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49F72524"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2958B0AB"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4A7E5AC0" w14:textId="77777777" w:rsidR="000051D8" w:rsidRPr="0037106B" w:rsidRDefault="006B58A3" w:rsidP="000051D8">
      <w:pPr>
        <w:shd w:val="clear" w:color="auto" w:fill="FFFFFF"/>
        <w:spacing w:after="0" w:line="240" w:lineRule="auto"/>
        <w:jc w:val="center"/>
        <w:rPr>
          <w:rFonts w:ascii="Cambria" w:eastAsia="Times New Roman" w:hAnsi="Cambria" w:cs="Times New Roman"/>
          <w:b/>
        </w:rPr>
      </w:pPr>
      <w:r w:rsidRPr="0037106B">
        <w:rPr>
          <w:rFonts w:ascii="Cambria" w:eastAsia="Times New Roman" w:hAnsi="Cambria" w:cs="Times New Roman"/>
          <w:b/>
        </w:rPr>
        <w:t xml:space="preserve">July </w:t>
      </w:r>
      <w:r w:rsidR="00432FF9" w:rsidRPr="0037106B">
        <w:rPr>
          <w:rFonts w:ascii="Cambria" w:eastAsia="Times New Roman" w:hAnsi="Cambria" w:cs="Times New Roman"/>
          <w:b/>
        </w:rPr>
        <w:t>3</w:t>
      </w:r>
      <w:r w:rsidR="002B5166" w:rsidRPr="0037106B">
        <w:rPr>
          <w:rFonts w:ascii="Cambria" w:eastAsia="Times New Roman" w:hAnsi="Cambria" w:cs="Times New Roman"/>
          <w:b/>
        </w:rPr>
        <w:t>1</w:t>
      </w:r>
      <w:r w:rsidR="000051D8" w:rsidRPr="0037106B">
        <w:rPr>
          <w:rFonts w:ascii="Cambria" w:eastAsia="Times New Roman" w:hAnsi="Cambria" w:cs="Times New Roman"/>
          <w:b/>
        </w:rPr>
        <w:t>, 2020</w:t>
      </w:r>
    </w:p>
    <w:p w14:paraId="6C6C4E4A" w14:textId="77777777" w:rsidR="000051D8" w:rsidRPr="0037106B" w:rsidRDefault="000051D8" w:rsidP="000051D8">
      <w:pPr>
        <w:shd w:val="clear" w:color="auto" w:fill="FFFFFF"/>
        <w:spacing w:after="0" w:line="240" w:lineRule="auto"/>
        <w:jc w:val="center"/>
        <w:rPr>
          <w:rFonts w:ascii="Cambria" w:eastAsia="Times New Roman" w:hAnsi="Cambria" w:cs="Times New Roman"/>
          <w:b/>
        </w:rPr>
      </w:pPr>
    </w:p>
    <w:p w14:paraId="12046539" w14:textId="77777777" w:rsidR="005B11ED" w:rsidRPr="0037106B" w:rsidRDefault="000051D8" w:rsidP="000051D8">
      <w:pPr>
        <w:rPr>
          <w:rFonts w:ascii="Cambria" w:hAnsi="Cambria"/>
          <w:b/>
        </w:rPr>
      </w:pPr>
      <w:r w:rsidRPr="0037106B">
        <w:rPr>
          <w:rFonts w:ascii="Cambria" w:hAnsi="Cambria"/>
        </w:rPr>
        <w:br w:type="page"/>
      </w:r>
    </w:p>
    <w:p w14:paraId="4DABE465" w14:textId="77777777" w:rsidR="00A376C1" w:rsidRPr="0037106B" w:rsidRDefault="00C6622F">
      <w:pPr>
        <w:rPr>
          <w:rFonts w:ascii="Cambria" w:hAnsi="Cambria"/>
          <w:noProof/>
        </w:rPr>
      </w:pPr>
      <w:r w:rsidRPr="0037106B">
        <w:rPr>
          <w:rFonts w:ascii="Cambria" w:hAnsi="Cambria"/>
        </w:rPr>
        <w:lastRenderedPageBreak/>
        <w:t>On July 3</w:t>
      </w:r>
      <w:r w:rsidR="009D390C" w:rsidRPr="0037106B">
        <w:rPr>
          <w:rFonts w:ascii="Cambria" w:hAnsi="Cambria"/>
        </w:rPr>
        <w:t>1</w:t>
      </w:r>
      <w:r w:rsidRPr="0037106B">
        <w:rPr>
          <w:rFonts w:ascii="Cambria" w:hAnsi="Cambria"/>
        </w:rPr>
        <w:t xml:space="preserve">, the U.S. Department of Commerce Bureau of Economic Analysis released the </w:t>
      </w:r>
      <w:r w:rsidR="009D390C" w:rsidRPr="0037106B">
        <w:rPr>
          <w:rFonts w:ascii="Cambria" w:hAnsi="Cambria"/>
        </w:rPr>
        <w:t>June update on personal income and expenditures.  This report</w:t>
      </w:r>
      <w:r w:rsidR="009D390C" w:rsidRPr="0037106B">
        <w:rPr>
          <w:rFonts w:ascii="Cambria" w:hAnsi="Cambria"/>
          <w:noProof/>
        </w:rPr>
        <w:t xml:space="preserve"> provides a useful summary of the impact of COVID-19 and the response to it on consumer behavior. </w:t>
      </w:r>
    </w:p>
    <w:p w14:paraId="5665C25E" w14:textId="77777777" w:rsidR="00D62502" w:rsidRPr="0037106B" w:rsidRDefault="009D390C">
      <w:pPr>
        <w:rPr>
          <w:rFonts w:ascii="Cambria" w:hAnsi="Cambria"/>
        </w:rPr>
      </w:pPr>
      <w:r w:rsidRPr="0037106B">
        <w:rPr>
          <w:rFonts w:ascii="Cambria" w:hAnsi="Cambria"/>
        </w:rPr>
        <w:t>Personal income fell in June for the second straight month</w:t>
      </w:r>
      <w:r w:rsidR="00BA30CC" w:rsidRPr="0037106B">
        <w:rPr>
          <w:rFonts w:ascii="Cambria" w:hAnsi="Cambria"/>
        </w:rPr>
        <w:t xml:space="preserve">; however, personal income remains historically </w:t>
      </w:r>
      <w:r w:rsidR="00D62502" w:rsidRPr="0037106B">
        <w:rPr>
          <w:rFonts w:ascii="Cambria" w:hAnsi="Cambria"/>
        </w:rPr>
        <w:t>high.  Figure 3 shows monthly aggregate personal income since 2005.</w:t>
      </w:r>
    </w:p>
    <w:p w14:paraId="18DE7B86" w14:textId="77777777" w:rsidR="009D390C" w:rsidRPr="0037106B" w:rsidRDefault="00D62502">
      <w:pPr>
        <w:rPr>
          <w:rFonts w:ascii="Cambria" w:hAnsi="Cambria"/>
        </w:rPr>
      </w:pPr>
      <w:r w:rsidRPr="0037106B">
        <w:rPr>
          <w:rFonts w:ascii="Cambria" w:hAnsi="Cambria"/>
          <w:noProof/>
        </w:rPr>
        <w:drawing>
          <wp:inline distT="0" distB="0" distL="0" distR="0" wp14:anchorId="2D890856" wp14:editId="7D119618">
            <wp:extent cx="4946650" cy="2616200"/>
            <wp:effectExtent l="0" t="0" r="6350" b="0"/>
            <wp:docPr id="1" name="Chart 1">
              <a:extLst xmlns:a="http://schemas.openxmlformats.org/drawingml/2006/main">
                <a:ext uri="{FF2B5EF4-FFF2-40B4-BE49-F238E27FC236}">
                  <a16:creationId xmlns:a16="http://schemas.microsoft.com/office/drawing/2014/main" id="{EC87367C-036D-476B-A939-2D6319C1B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7106B">
        <w:rPr>
          <w:rFonts w:ascii="Cambria" w:hAnsi="Cambria"/>
        </w:rPr>
        <w:t xml:space="preserve"> </w:t>
      </w:r>
    </w:p>
    <w:p w14:paraId="2A358252" w14:textId="77777777" w:rsidR="00C6622F" w:rsidRPr="0037106B" w:rsidRDefault="00EB6246">
      <w:pPr>
        <w:rPr>
          <w:rFonts w:ascii="Cambria" w:hAnsi="Cambria"/>
        </w:rPr>
      </w:pPr>
      <w:r w:rsidRPr="0037106B">
        <w:rPr>
          <w:rFonts w:ascii="Cambria" w:hAnsi="Cambria"/>
        </w:rPr>
        <w:t xml:space="preserve">Data Source: </w:t>
      </w:r>
      <w:r w:rsidR="002913AF" w:rsidRPr="0037106B">
        <w:rPr>
          <w:rFonts w:ascii="Cambria" w:hAnsi="Cambria"/>
        </w:rPr>
        <w:t>St. Louis Federal Reserve Bank, FRED Economic Data</w:t>
      </w:r>
    </w:p>
    <w:p w14:paraId="61D557EF" w14:textId="77777777" w:rsidR="002913AF" w:rsidRPr="0037106B" w:rsidRDefault="002913AF">
      <w:pPr>
        <w:rPr>
          <w:rFonts w:ascii="Cambria" w:hAnsi="Cambria"/>
        </w:rPr>
      </w:pPr>
      <w:r w:rsidRPr="0037106B">
        <w:rPr>
          <w:rFonts w:ascii="Cambria" w:hAnsi="Cambria"/>
          <w:b/>
        </w:rPr>
        <w:t>Figure 1.</w:t>
      </w:r>
      <w:r w:rsidRPr="0037106B">
        <w:rPr>
          <w:rFonts w:ascii="Cambria" w:hAnsi="Cambria"/>
        </w:rPr>
        <w:t xml:space="preserve">  </w:t>
      </w:r>
      <w:r w:rsidR="00D62502" w:rsidRPr="0037106B">
        <w:rPr>
          <w:rFonts w:ascii="Cambria" w:hAnsi="Cambria"/>
        </w:rPr>
        <w:t>Monthly Personal Income</w:t>
      </w:r>
    </w:p>
    <w:p w14:paraId="509B44FD" w14:textId="77777777" w:rsidR="00560782" w:rsidRPr="0037106B" w:rsidRDefault="00BD2DDF">
      <w:pPr>
        <w:rPr>
          <w:rFonts w:ascii="Cambria" w:hAnsi="Cambria"/>
        </w:rPr>
      </w:pPr>
      <w:r w:rsidRPr="0037106B">
        <w:rPr>
          <w:rFonts w:ascii="Cambria" w:hAnsi="Cambria"/>
        </w:rPr>
        <w:t xml:space="preserve">Employee compensation and proprietor’s income were both higher in June compared to both May and April.  </w:t>
      </w:r>
      <w:r w:rsidR="00560782" w:rsidRPr="0037106B">
        <w:rPr>
          <w:rFonts w:ascii="Cambria" w:hAnsi="Cambria"/>
        </w:rPr>
        <w:t xml:space="preserve">The month-to-month drop in personal income </w:t>
      </w:r>
      <w:r w:rsidRPr="0037106B">
        <w:rPr>
          <w:rFonts w:ascii="Cambria" w:hAnsi="Cambria"/>
        </w:rPr>
        <w:t xml:space="preserve">was due to a reduction in government transfers.  This was mostly due to a slowdown in direct payments under the provision of the Coronavirus Aid, Relief, and Economic Security (CARES) Act.  Despite a recovery of economic activity in June, compensation from unemployment insurance was higher in June than in May. </w:t>
      </w:r>
    </w:p>
    <w:p w14:paraId="6FB27D97" w14:textId="73903DC6" w:rsidR="008425B2" w:rsidRDefault="008425B2">
      <w:pPr>
        <w:rPr>
          <w:rFonts w:ascii="Cambria" w:hAnsi="Cambria"/>
        </w:rPr>
      </w:pPr>
      <w:r w:rsidRPr="0037106B">
        <w:rPr>
          <w:rFonts w:ascii="Cambria" w:hAnsi="Cambria"/>
        </w:rPr>
        <w:t>Personal consumption expenditures also increased in June as state economies began opening up.  Expenditures were up across all major spending categories: durable goods, non-durable goods, and services.  With income down and expenditure up, month-over-month, the personal savings rate declined significantly from May to June.  Still, the personal savings rate for June came in at 19</w:t>
      </w:r>
      <w:r w:rsidR="001B0637">
        <w:rPr>
          <w:rFonts w:ascii="Cambria" w:hAnsi="Cambria"/>
        </w:rPr>
        <w:t xml:space="preserve"> percent</w:t>
      </w:r>
      <w:r w:rsidRPr="0037106B">
        <w:rPr>
          <w:rFonts w:ascii="Cambria" w:hAnsi="Cambria"/>
        </w:rPr>
        <w:t>.  This is a historically high rate of savings, and it suggests that consume</w:t>
      </w:r>
      <w:r w:rsidR="001B0637">
        <w:rPr>
          <w:rFonts w:ascii="Cambria" w:hAnsi="Cambria"/>
        </w:rPr>
        <w:t>r</w:t>
      </w:r>
      <w:bookmarkStart w:id="0" w:name="_GoBack"/>
      <w:bookmarkEnd w:id="0"/>
      <w:r w:rsidRPr="0037106B">
        <w:rPr>
          <w:rFonts w:ascii="Cambria" w:hAnsi="Cambria"/>
        </w:rPr>
        <w:t xml:space="preserve">s are still engaging in considerable precautionary savings.  </w:t>
      </w:r>
    </w:p>
    <w:p w14:paraId="360BF93D" w14:textId="04656BA9" w:rsidR="0037106B" w:rsidRDefault="0037106B">
      <w:pPr>
        <w:rPr>
          <w:rFonts w:ascii="Cambria" w:hAnsi="Cambria"/>
        </w:rPr>
      </w:pPr>
    </w:p>
    <w:p w14:paraId="41DFE559" w14:textId="456E4E97" w:rsidR="0037106B" w:rsidRDefault="0037106B">
      <w:pPr>
        <w:rPr>
          <w:rFonts w:ascii="Cambria" w:hAnsi="Cambria"/>
        </w:rPr>
      </w:pPr>
    </w:p>
    <w:p w14:paraId="5ED9BF89" w14:textId="77777777" w:rsidR="0037106B" w:rsidRPr="00510F51" w:rsidRDefault="0037106B" w:rsidP="0037106B">
      <w:pPr>
        <w:pStyle w:val="xmsonormal"/>
        <w:shd w:val="clear" w:color="auto" w:fill="FFFFFF"/>
        <w:spacing w:afterLines="160" w:after="384"/>
        <w:rPr>
          <w:rFonts w:ascii="Cambria" w:hAnsi="Cambria" w:cs="Arial"/>
          <w:color w:val="808080" w:themeColor="background1" w:themeShade="80"/>
          <w:sz w:val="22"/>
          <w:szCs w:val="22"/>
        </w:rPr>
      </w:pPr>
      <w:r w:rsidRPr="00510F51">
        <w:rPr>
          <w:rFonts w:ascii="Cambria" w:hAnsi="Cambria" w:cs="Arial"/>
          <w:color w:val="808080" w:themeColor="background1" w:themeShade="80"/>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3C9C6BB" w14:textId="77777777" w:rsidR="0037106B" w:rsidRPr="0037106B" w:rsidRDefault="0037106B" w:rsidP="0037106B">
      <w:pPr>
        <w:rPr>
          <w:rFonts w:ascii="Cambria" w:hAnsi="Cambria"/>
        </w:rPr>
      </w:pPr>
    </w:p>
    <w:sectPr w:rsidR="0037106B" w:rsidRPr="003710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211E" w14:textId="77777777" w:rsidR="00BC413C" w:rsidRDefault="00BC413C" w:rsidP="00C81B41">
      <w:pPr>
        <w:spacing w:after="0" w:line="240" w:lineRule="auto"/>
      </w:pPr>
      <w:r>
        <w:separator/>
      </w:r>
    </w:p>
  </w:endnote>
  <w:endnote w:type="continuationSeparator" w:id="0">
    <w:p w14:paraId="6A6E9761" w14:textId="77777777" w:rsidR="00BC413C" w:rsidRDefault="00BC413C" w:rsidP="00C8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7F094" w14:textId="77777777" w:rsidR="00BC413C" w:rsidRDefault="00BC413C" w:rsidP="00C81B41">
      <w:pPr>
        <w:spacing w:after="0" w:line="240" w:lineRule="auto"/>
      </w:pPr>
      <w:r>
        <w:separator/>
      </w:r>
    </w:p>
  </w:footnote>
  <w:footnote w:type="continuationSeparator" w:id="0">
    <w:p w14:paraId="15000628" w14:textId="77777777" w:rsidR="00BC413C" w:rsidRDefault="00BC413C" w:rsidP="00C81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0DFC"/>
    <w:multiLevelType w:val="hybridMultilevel"/>
    <w:tmpl w:val="C3B6A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41"/>
    <w:rsid w:val="000051D8"/>
    <w:rsid w:val="00035376"/>
    <w:rsid w:val="00130E10"/>
    <w:rsid w:val="001456E5"/>
    <w:rsid w:val="00162351"/>
    <w:rsid w:val="001B0637"/>
    <w:rsid w:val="0021778D"/>
    <w:rsid w:val="0025705D"/>
    <w:rsid w:val="002913AF"/>
    <w:rsid w:val="00297302"/>
    <w:rsid w:val="002A6F90"/>
    <w:rsid w:val="002B5166"/>
    <w:rsid w:val="0037106B"/>
    <w:rsid w:val="003D0607"/>
    <w:rsid w:val="00432FF9"/>
    <w:rsid w:val="00451199"/>
    <w:rsid w:val="004E24DB"/>
    <w:rsid w:val="00560782"/>
    <w:rsid w:val="005A3BA7"/>
    <w:rsid w:val="005B11ED"/>
    <w:rsid w:val="005F3569"/>
    <w:rsid w:val="00655242"/>
    <w:rsid w:val="00657CF2"/>
    <w:rsid w:val="00694B7E"/>
    <w:rsid w:val="006B0B51"/>
    <w:rsid w:val="006B58A3"/>
    <w:rsid w:val="006C5887"/>
    <w:rsid w:val="006D5F29"/>
    <w:rsid w:val="00833732"/>
    <w:rsid w:val="008425B2"/>
    <w:rsid w:val="00854084"/>
    <w:rsid w:val="008B6A95"/>
    <w:rsid w:val="008C0347"/>
    <w:rsid w:val="008F6336"/>
    <w:rsid w:val="00977EFE"/>
    <w:rsid w:val="009D390C"/>
    <w:rsid w:val="009F0A7E"/>
    <w:rsid w:val="00A077A1"/>
    <w:rsid w:val="00A116FA"/>
    <w:rsid w:val="00A376C1"/>
    <w:rsid w:val="00A41FB9"/>
    <w:rsid w:val="00A62B7B"/>
    <w:rsid w:val="00AB5685"/>
    <w:rsid w:val="00B85113"/>
    <w:rsid w:val="00BA30CC"/>
    <w:rsid w:val="00BC413C"/>
    <w:rsid w:val="00BC5949"/>
    <w:rsid w:val="00BD2DDF"/>
    <w:rsid w:val="00C6622F"/>
    <w:rsid w:val="00C81B41"/>
    <w:rsid w:val="00C9607F"/>
    <w:rsid w:val="00CF7FE6"/>
    <w:rsid w:val="00D0255B"/>
    <w:rsid w:val="00D62502"/>
    <w:rsid w:val="00E533AE"/>
    <w:rsid w:val="00E70813"/>
    <w:rsid w:val="00E9494E"/>
    <w:rsid w:val="00EB6246"/>
    <w:rsid w:val="00EC30E0"/>
    <w:rsid w:val="00F364C2"/>
    <w:rsid w:val="00F62885"/>
    <w:rsid w:val="00F7459F"/>
    <w:rsid w:val="00FB1D7B"/>
    <w:rsid w:val="00F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116"/>
  <w15:chartTrackingRefBased/>
  <w15:docId w15:val="{06B96806-0A24-4F3F-B6E9-F1E63AEA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1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B41"/>
    <w:rPr>
      <w:sz w:val="20"/>
      <w:szCs w:val="20"/>
    </w:rPr>
  </w:style>
  <w:style w:type="character" w:styleId="FootnoteReference">
    <w:name w:val="footnote reference"/>
    <w:basedOn w:val="DefaultParagraphFont"/>
    <w:uiPriority w:val="99"/>
    <w:semiHidden/>
    <w:unhideWhenUsed/>
    <w:rsid w:val="00C81B41"/>
    <w:rPr>
      <w:vertAlign w:val="superscript"/>
    </w:rPr>
  </w:style>
  <w:style w:type="table" w:styleId="TableGrid">
    <w:name w:val="Table Grid"/>
    <w:basedOn w:val="TableNormal"/>
    <w:uiPriority w:val="39"/>
    <w:rsid w:val="00F6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6C1"/>
    <w:pPr>
      <w:ind w:left="720"/>
      <w:contextualSpacing/>
    </w:pPr>
  </w:style>
  <w:style w:type="paragraph" w:customStyle="1" w:styleId="xmsonormal">
    <w:name w:val="x_msonormal"/>
    <w:basedOn w:val="Normal"/>
    <w:rsid w:val="0037106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PI!$A$2:$A$187</c:f>
              <c:numCache>
                <c:formatCode>[$-409]mmm\-yy;@</c:formatCode>
                <c:ptCount val="186"/>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pt idx="172">
                  <c:v>43586</c:v>
                </c:pt>
                <c:pt idx="173">
                  <c:v>43617</c:v>
                </c:pt>
                <c:pt idx="174">
                  <c:v>43647</c:v>
                </c:pt>
                <c:pt idx="175">
                  <c:v>43678</c:v>
                </c:pt>
                <c:pt idx="176">
                  <c:v>43709</c:v>
                </c:pt>
                <c:pt idx="177">
                  <c:v>43739</c:v>
                </c:pt>
                <c:pt idx="178">
                  <c:v>43770</c:v>
                </c:pt>
                <c:pt idx="179">
                  <c:v>43800</c:v>
                </c:pt>
                <c:pt idx="180">
                  <c:v>43831</c:v>
                </c:pt>
                <c:pt idx="181">
                  <c:v>43862</c:v>
                </c:pt>
                <c:pt idx="182">
                  <c:v>43891</c:v>
                </c:pt>
                <c:pt idx="183">
                  <c:v>43922</c:v>
                </c:pt>
                <c:pt idx="184">
                  <c:v>43952</c:v>
                </c:pt>
                <c:pt idx="185">
                  <c:v>43983</c:v>
                </c:pt>
              </c:numCache>
            </c:numRef>
          </c:cat>
          <c:val>
            <c:numRef>
              <c:f>PI!$B$2:$B$187</c:f>
              <c:numCache>
                <c:formatCode>General</c:formatCode>
                <c:ptCount val="186"/>
                <c:pt idx="0">
                  <c:v>10292.1</c:v>
                </c:pt>
                <c:pt idx="1">
                  <c:v>10329.4</c:v>
                </c:pt>
                <c:pt idx="2">
                  <c:v>10393.9</c:v>
                </c:pt>
                <c:pt idx="3">
                  <c:v>10457.5</c:v>
                </c:pt>
                <c:pt idx="4">
                  <c:v>10511.5</c:v>
                </c:pt>
                <c:pt idx="5">
                  <c:v>10546.6</c:v>
                </c:pt>
                <c:pt idx="6">
                  <c:v>10599.9</c:v>
                </c:pt>
                <c:pt idx="7">
                  <c:v>10658.1</c:v>
                </c:pt>
                <c:pt idx="8">
                  <c:v>10727</c:v>
                </c:pt>
                <c:pt idx="9">
                  <c:v>10822.7</c:v>
                </c:pt>
                <c:pt idx="10">
                  <c:v>10890.4</c:v>
                </c:pt>
                <c:pt idx="11">
                  <c:v>10949.7</c:v>
                </c:pt>
                <c:pt idx="12">
                  <c:v>11136.9</c:v>
                </c:pt>
                <c:pt idx="13">
                  <c:v>11192</c:v>
                </c:pt>
                <c:pt idx="14">
                  <c:v>11239.7</c:v>
                </c:pt>
                <c:pt idx="15">
                  <c:v>11291.8</c:v>
                </c:pt>
                <c:pt idx="16">
                  <c:v>11313.6</c:v>
                </c:pt>
                <c:pt idx="17">
                  <c:v>11366.6</c:v>
                </c:pt>
                <c:pt idx="18">
                  <c:v>11393.4</c:v>
                </c:pt>
                <c:pt idx="19">
                  <c:v>11424</c:v>
                </c:pt>
                <c:pt idx="20">
                  <c:v>11470.7</c:v>
                </c:pt>
                <c:pt idx="21">
                  <c:v>11510.1</c:v>
                </c:pt>
                <c:pt idx="22">
                  <c:v>11570.4</c:v>
                </c:pt>
                <c:pt idx="23">
                  <c:v>11671.2</c:v>
                </c:pt>
                <c:pt idx="24">
                  <c:v>11744.7</c:v>
                </c:pt>
                <c:pt idx="25">
                  <c:v>11838.3</c:v>
                </c:pt>
                <c:pt idx="26">
                  <c:v>11927.2</c:v>
                </c:pt>
                <c:pt idx="27">
                  <c:v>11955.5</c:v>
                </c:pt>
                <c:pt idx="28">
                  <c:v>11982.7</c:v>
                </c:pt>
                <c:pt idx="29">
                  <c:v>11992.7</c:v>
                </c:pt>
                <c:pt idx="30">
                  <c:v>12017.6</c:v>
                </c:pt>
                <c:pt idx="31">
                  <c:v>12028.5</c:v>
                </c:pt>
                <c:pt idx="32">
                  <c:v>12098.9</c:v>
                </c:pt>
                <c:pt idx="33">
                  <c:v>12109.7</c:v>
                </c:pt>
                <c:pt idx="34">
                  <c:v>12161.6</c:v>
                </c:pt>
                <c:pt idx="35">
                  <c:v>12235.9</c:v>
                </c:pt>
                <c:pt idx="36">
                  <c:v>12278.6</c:v>
                </c:pt>
                <c:pt idx="37">
                  <c:v>12311</c:v>
                </c:pt>
                <c:pt idx="38">
                  <c:v>12355.4</c:v>
                </c:pt>
                <c:pt idx="39">
                  <c:v>12342.8</c:v>
                </c:pt>
                <c:pt idx="40">
                  <c:v>12910.1</c:v>
                </c:pt>
                <c:pt idx="41">
                  <c:v>12675</c:v>
                </c:pt>
                <c:pt idx="42">
                  <c:v>12518.8</c:v>
                </c:pt>
                <c:pt idx="43">
                  <c:v>12428.1</c:v>
                </c:pt>
                <c:pt idx="44">
                  <c:v>12454.6</c:v>
                </c:pt>
                <c:pt idx="45">
                  <c:v>12438.7</c:v>
                </c:pt>
                <c:pt idx="46">
                  <c:v>12372</c:v>
                </c:pt>
                <c:pt idx="47">
                  <c:v>12221.4</c:v>
                </c:pt>
                <c:pt idx="48">
                  <c:v>12085.5</c:v>
                </c:pt>
                <c:pt idx="49">
                  <c:v>11963.4</c:v>
                </c:pt>
                <c:pt idx="50">
                  <c:v>11920</c:v>
                </c:pt>
                <c:pt idx="51">
                  <c:v>11994.1</c:v>
                </c:pt>
                <c:pt idx="52">
                  <c:v>12187.1</c:v>
                </c:pt>
                <c:pt idx="53">
                  <c:v>12068.4</c:v>
                </c:pt>
                <c:pt idx="54">
                  <c:v>12021.2</c:v>
                </c:pt>
                <c:pt idx="55">
                  <c:v>12027.4</c:v>
                </c:pt>
                <c:pt idx="56">
                  <c:v>12066.4</c:v>
                </c:pt>
                <c:pt idx="57">
                  <c:v>12061.6</c:v>
                </c:pt>
                <c:pt idx="58">
                  <c:v>12123.7</c:v>
                </c:pt>
                <c:pt idx="59">
                  <c:v>12190.6</c:v>
                </c:pt>
                <c:pt idx="60">
                  <c:v>12264.2</c:v>
                </c:pt>
                <c:pt idx="61">
                  <c:v>12254.8</c:v>
                </c:pt>
                <c:pt idx="62">
                  <c:v>12308.6</c:v>
                </c:pt>
                <c:pt idx="63">
                  <c:v>12414.3</c:v>
                </c:pt>
                <c:pt idx="64">
                  <c:v>12520.9</c:v>
                </c:pt>
                <c:pt idx="65">
                  <c:v>12542.8</c:v>
                </c:pt>
                <c:pt idx="66">
                  <c:v>12590.6</c:v>
                </c:pt>
                <c:pt idx="67">
                  <c:v>12653.7</c:v>
                </c:pt>
                <c:pt idx="68">
                  <c:v>12663.7</c:v>
                </c:pt>
                <c:pt idx="69">
                  <c:v>12725.5</c:v>
                </c:pt>
                <c:pt idx="70">
                  <c:v>12780</c:v>
                </c:pt>
                <c:pt idx="71">
                  <c:v>12900.2</c:v>
                </c:pt>
                <c:pt idx="72">
                  <c:v>13104.4</c:v>
                </c:pt>
                <c:pt idx="73">
                  <c:v>13176.1</c:v>
                </c:pt>
                <c:pt idx="74">
                  <c:v>13194.2</c:v>
                </c:pt>
                <c:pt idx="75">
                  <c:v>13226.3</c:v>
                </c:pt>
                <c:pt idx="76">
                  <c:v>13255.6</c:v>
                </c:pt>
                <c:pt idx="77">
                  <c:v>13319.9</c:v>
                </c:pt>
                <c:pt idx="78">
                  <c:v>13391</c:v>
                </c:pt>
                <c:pt idx="79">
                  <c:v>13409</c:v>
                </c:pt>
                <c:pt idx="80">
                  <c:v>13406.1</c:v>
                </c:pt>
                <c:pt idx="81">
                  <c:v>13423.3</c:v>
                </c:pt>
                <c:pt idx="82">
                  <c:v>13442.9</c:v>
                </c:pt>
                <c:pt idx="83">
                  <c:v>13572.4</c:v>
                </c:pt>
                <c:pt idx="84">
                  <c:v>13682.5</c:v>
                </c:pt>
                <c:pt idx="85">
                  <c:v>13799.6</c:v>
                </c:pt>
                <c:pt idx="86">
                  <c:v>13874.9</c:v>
                </c:pt>
                <c:pt idx="87">
                  <c:v>13945.8</c:v>
                </c:pt>
                <c:pt idx="88">
                  <c:v>13941.5</c:v>
                </c:pt>
                <c:pt idx="89">
                  <c:v>13953.2</c:v>
                </c:pt>
                <c:pt idx="90">
                  <c:v>13872.7</c:v>
                </c:pt>
                <c:pt idx="91">
                  <c:v>13877</c:v>
                </c:pt>
                <c:pt idx="92">
                  <c:v>13996.6</c:v>
                </c:pt>
                <c:pt idx="93">
                  <c:v>14141.4</c:v>
                </c:pt>
                <c:pt idx="94">
                  <c:v>14335.4</c:v>
                </c:pt>
                <c:pt idx="95">
                  <c:v>14701.1</c:v>
                </c:pt>
                <c:pt idx="96">
                  <c:v>14003.4</c:v>
                </c:pt>
                <c:pt idx="97">
                  <c:v>13994.1</c:v>
                </c:pt>
                <c:pt idx="98">
                  <c:v>14006.2</c:v>
                </c:pt>
                <c:pt idx="99">
                  <c:v>14061.1</c:v>
                </c:pt>
                <c:pt idx="100">
                  <c:v>14150.7</c:v>
                </c:pt>
                <c:pt idx="101">
                  <c:v>14193.1</c:v>
                </c:pt>
                <c:pt idx="102">
                  <c:v>14181</c:v>
                </c:pt>
                <c:pt idx="103">
                  <c:v>14227.8</c:v>
                </c:pt>
                <c:pt idx="104">
                  <c:v>14287.2</c:v>
                </c:pt>
                <c:pt idx="105">
                  <c:v>14279.6</c:v>
                </c:pt>
                <c:pt idx="106">
                  <c:v>14354.2</c:v>
                </c:pt>
                <c:pt idx="107">
                  <c:v>14434.6</c:v>
                </c:pt>
                <c:pt idx="108">
                  <c:v>14537.3</c:v>
                </c:pt>
                <c:pt idx="109">
                  <c:v>14638</c:v>
                </c:pt>
                <c:pt idx="110">
                  <c:v>14742.5</c:v>
                </c:pt>
                <c:pt idx="111">
                  <c:v>14813.5</c:v>
                </c:pt>
                <c:pt idx="112">
                  <c:v>14886.8</c:v>
                </c:pt>
                <c:pt idx="113">
                  <c:v>14972</c:v>
                </c:pt>
                <c:pt idx="114">
                  <c:v>15049.2</c:v>
                </c:pt>
                <c:pt idx="115">
                  <c:v>15126.8</c:v>
                </c:pt>
                <c:pt idx="116">
                  <c:v>15183.9</c:v>
                </c:pt>
                <c:pt idx="117">
                  <c:v>15249.3</c:v>
                </c:pt>
                <c:pt idx="118">
                  <c:v>15315.8</c:v>
                </c:pt>
                <c:pt idx="119">
                  <c:v>15385.4</c:v>
                </c:pt>
                <c:pt idx="120">
                  <c:v>15470.6</c:v>
                </c:pt>
                <c:pt idx="121">
                  <c:v>15555.4</c:v>
                </c:pt>
                <c:pt idx="122">
                  <c:v>15554</c:v>
                </c:pt>
                <c:pt idx="123">
                  <c:v>15609.8</c:v>
                </c:pt>
                <c:pt idx="124">
                  <c:v>15680.8</c:v>
                </c:pt>
                <c:pt idx="125">
                  <c:v>15723.3</c:v>
                </c:pt>
                <c:pt idx="126">
                  <c:v>15773.1</c:v>
                </c:pt>
                <c:pt idx="127">
                  <c:v>15812</c:v>
                </c:pt>
                <c:pt idx="128">
                  <c:v>15834.1</c:v>
                </c:pt>
                <c:pt idx="129">
                  <c:v>15870.4</c:v>
                </c:pt>
                <c:pt idx="130">
                  <c:v>15876.6</c:v>
                </c:pt>
                <c:pt idx="131">
                  <c:v>15930.8</c:v>
                </c:pt>
                <c:pt idx="132">
                  <c:v>15957.2</c:v>
                </c:pt>
                <c:pt idx="133">
                  <c:v>15958.5</c:v>
                </c:pt>
                <c:pt idx="134">
                  <c:v>15996.7</c:v>
                </c:pt>
                <c:pt idx="135">
                  <c:v>16035.6</c:v>
                </c:pt>
                <c:pt idx="136">
                  <c:v>16057.9</c:v>
                </c:pt>
                <c:pt idx="137">
                  <c:v>16103.3</c:v>
                </c:pt>
                <c:pt idx="138">
                  <c:v>16168.2</c:v>
                </c:pt>
                <c:pt idx="139">
                  <c:v>16205.7</c:v>
                </c:pt>
                <c:pt idx="140">
                  <c:v>16274.7</c:v>
                </c:pt>
                <c:pt idx="141">
                  <c:v>16341.3</c:v>
                </c:pt>
                <c:pt idx="142">
                  <c:v>16382.2</c:v>
                </c:pt>
                <c:pt idx="143">
                  <c:v>16447.3</c:v>
                </c:pt>
                <c:pt idx="144">
                  <c:v>16566.5</c:v>
                </c:pt>
                <c:pt idx="145">
                  <c:v>16641.7</c:v>
                </c:pt>
                <c:pt idx="146">
                  <c:v>16693</c:v>
                </c:pt>
                <c:pt idx="147">
                  <c:v>16751.7</c:v>
                </c:pt>
                <c:pt idx="148">
                  <c:v>16849.8</c:v>
                </c:pt>
                <c:pt idx="149">
                  <c:v>16883.8</c:v>
                </c:pt>
                <c:pt idx="150">
                  <c:v>16948.8</c:v>
                </c:pt>
                <c:pt idx="151">
                  <c:v>17024.599999999999</c:v>
                </c:pt>
                <c:pt idx="152">
                  <c:v>17136.3</c:v>
                </c:pt>
                <c:pt idx="153">
                  <c:v>17228.400000000001</c:v>
                </c:pt>
                <c:pt idx="154">
                  <c:v>17297.5</c:v>
                </c:pt>
                <c:pt idx="155">
                  <c:v>17361</c:v>
                </c:pt>
                <c:pt idx="156">
                  <c:v>17478.099999999999</c:v>
                </c:pt>
                <c:pt idx="157">
                  <c:v>17548.900000000001</c:v>
                </c:pt>
                <c:pt idx="158">
                  <c:v>17618.7</c:v>
                </c:pt>
                <c:pt idx="159">
                  <c:v>17673.099999999999</c:v>
                </c:pt>
                <c:pt idx="160">
                  <c:v>17747.2</c:v>
                </c:pt>
                <c:pt idx="161">
                  <c:v>17830.5</c:v>
                </c:pt>
                <c:pt idx="162">
                  <c:v>17926.2</c:v>
                </c:pt>
                <c:pt idx="163">
                  <c:v>17994.8</c:v>
                </c:pt>
                <c:pt idx="164">
                  <c:v>18008.599999999999</c:v>
                </c:pt>
                <c:pt idx="165">
                  <c:v>18052.599999999999</c:v>
                </c:pt>
                <c:pt idx="166">
                  <c:v>18080.5</c:v>
                </c:pt>
                <c:pt idx="167">
                  <c:v>18262.7</c:v>
                </c:pt>
                <c:pt idx="168">
                  <c:v>18303.5</c:v>
                </c:pt>
                <c:pt idx="169">
                  <c:v>18370</c:v>
                </c:pt>
                <c:pt idx="170">
                  <c:v>18426.7</c:v>
                </c:pt>
                <c:pt idx="171">
                  <c:v>18459.099999999999</c:v>
                </c:pt>
                <c:pt idx="172">
                  <c:v>18474.2</c:v>
                </c:pt>
                <c:pt idx="173">
                  <c:v>18509.400000000001</c:v>
                </c:pt>
                <c:pt idx="174">
                  <c:v>18531.099999999999</c:v>
                </c:pt>
                <c:pt idx="175">
                  <c:v>18616.599999999999</c:v>
                </c:pt>
                <c:pt idx="176">
                  <c:v>18645.099999999999</c:v>
                </c:pt>
                <c:pt idx="177">
                  <c:v>18693.599999999999</c:v>
                </c:pt>
                <c:pt idx="178">
                  <c:v>18788.3</c:v>
                </c:pt>
                <c:pt idx="179">
                  <c:v>18800.5</c:v>
                </c:pt>
                <c:pt idx="180">
                  <c:v>18975.3</c:v>
                </c:pt>
                <c:pt idx="181">
                  <c:v>19119.7</c:v>
                </c:pt>
                <c:pt idx="182">
                  <c:v>18767.5</c:v>
                </c:pt>
                <c:pt idx="183">
                  <c:v>21037.9</c:v>
                </c:pt>
                <c:pt idx="184">
                  <c:v>20103.099999999999</c:v>
                </c:pt>
                <c:pt idx="185">
                  <c:v>19880.3</c:v>
                </c:pt>
              </c:numCache>
            </c:numRef>
          </c:val>
          <c:smooth val="0"/>
          <c:extLst>
            <c:ext xmlns:c16="http://schemas.microsoft.com/office/drawing/2014/chart" uri="{C3380CC4-5D6E-409C-BE32-E72D297353CC}">
              <c16:uniqueId val="{00000000-C7DD-46C7-85B8-591E3A906207}"/>
            </c:ext>
          </c:extLst>
        </c:ser>
        <c:dLbls>
          <c:showLegendKey val="0"/>
          <c:showVal val="0"/>
          <c:showCatName val="0"/>
          <c:showSerName val="0"/>
          <c:showPercent val="0"/>
          <c:showBubbleSize val="0"/>
        </c:dLbls>
        <c:marker val="1"/>
        <c:smooth val="0"/>
        <c:axId val="245401488"/>
        <c:axId val="167756880"/>
      </c:lineChart>
      <c:dateAx>
        <c:axId val="245401488"/>
        <c:scaling>
          <c:orientation val="minMax"/>
        </c:scaling>
        <c:delete val="0"/>
        <c:axPos val="b"/>
        <c:numFmt formatCode="[$-409]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7756880"/>
        <c:crosses val="autoZero"/>
        <c:auto val="1"/>
        <c:lblOffset val="100"/>
        <c:baseTimeUnit val="months"/>
      </c:dateAx>
      <c:valAx>
        <c:axId val="16775688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 Billions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4540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BE92-4485-6947-90A4-C5AEA909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dc:description/>
  <cp:lastModifiedBy>Microsoft Office User</cp:lastModifiedBy>
  <cp:revision>5</cp:revision>
  <dcterms:created xsi:type="dcterms:W3CDTF">2020-07-31T14:56:00Z</dcterms:created>
  <dcterms:modified xsi:type="dcterms:W3CDTF">2020-07-31T16:58:00Z</dcterms:modified>
</cp:coreProperties>
</file>