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FA21" w14:textId="3FF5BDA6" w:rsidR="00CF6ED4" w:rsidRDefault="00CF6ED4" w:rsidP="000051D8">
      <w:pPr>
        <w:shd w:val="clear" w:color="auto" w:fill="FFFFFF"/>
        <w:spacing w:after="0" w:line="240" w:lineRule="auto"/>
        <w:jc w:val="center"/>
        <w:rPr>
          <w:rFonts w:ascii="Cambria" w:eastAsia="Times New Roman" w:hAnsi="Cambria" w:cs="Times New Roman"/>
          <w:b/>
          <w:sz w:val="28"/>
          <w:szCs w:val="28"/>
        </w:rPr>
      </w:pPr>
      <w:r w:rsidRPr="003F125D">
        <w:rPr>
          <w:rFonts w:ascii="Arial" w:hAnsi="Arial" w:cs="Arial"/>
          <w:noProof/>
        </w:rPr>
        <w:drawing>
          <wp:anchor distT="0" distB="0" distL="114300" distR="114300" simplePos="0" relativeHeight="251659264" behindDoc="0" locked="0" layoutInCell="1" allowOverlap="1" wp14:anchorId="51795043" wp14:editId="40EF5245">
            <wp:simplePos x="0" y="0"/>
            <wp:positionH relativeFrom="column">
              <wp:posOffset>1806854</wp:posOffset>
            </wp:positionH>
            <wp:positionV relativeFrom="paragraph">
              <wp:posOffset>-58522</wp:posOffset>
            </wp:positionV>
            <wp:extent cx="2364377" cy="423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7"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E331AD" w14:textId="77777777" w:rsidR="00CF6ED4" w:rsidRDefault="00CF6ED4" w:rsidP="000051D8">
      <w:pPr>
        <w:shd w:val="clear" w:color="auto" w:fill="FFFFFF"/>
        <w:spacing w:after="0" w:line="240" w:lineRule="auto"/>
        <w:jc w:val="center"/>
        <w:rPr>
          <w:rFonts w:ascii="Cambria" w:eastAsia="Times New Roman" w:hAnsi="Cambria" w:cs="Times New Roman"/>
          <w:b/>
          <w:sz w:val="28"/>
          <w:szCs w:val="28"/>
        </w:rPr>
      </w:pPr>
    </w:p>
    <w:p w14:paraId="3C5741A0" w14:textId="77777777" w:rsidR="00CF6ED4" w:rsidRDefault="00CF6ED4" w:rsidP="000051D8">
      <w:pPr>
        <w:shd w:val="clear" w:color="auto" w:fill="FFFFFF"/>
        <w:spacing w:after="0" w:line="240" w:lineRule="auto"/>
        <w:jc w:val="center"/>
        <w:rPr>
          <w:rFonts w:ascii="Cambria" w:eastAsia="Times New Roman" w:hAnsi="Cambria" w:cs="Times New Roman"/>
          <w:b/>
          <w:sz w:val="28"/>
          <w:szCs w:val="28"/>
        </w:rPr>
      </w:pPr>
    </w:p>
    <w:p w14:paraId="39DC3FF9" w14:textId="77777777" w:rsidR="00CF6ED4" w:rsidRDefault="00CF6ED4" w:rsidP="000051D8">
      <w:pPr>
        <w:shd w:val="clear" w:color="auto" w:fill="FFFFFF"/>
        <w:spacing w:after="0" w:line="240" w:lineRule="auto"/>
        <w:jc w:val="center"/>
        <w:rPr>
          <w:rFonts w:ascii="Cambria" w:eastAsia="Times New Roman" w:hAnsi="Cambria" w:cs="Times New Roman"/>
          <w:b/>
          <w:sz w:val="28"/>
          <w:szCs w:val="28"/>
        </w:rPr>
      </w:pPr>
    </w:p>
    <w:p w14:paraId="74FB90F0" w14:textId="77777777" w:rsidR="00CF6ED4" w:rsidRDefault="00CF6ED4" w:rsidP="000051D8">
      <w:pPr>
        <w:shd w:val="clear" w:color="auto" w:fill="FFFFFF"/>
        <w:spacing w:after="0" w:line="240" w:lineRule="auto"/>
        <w:jc w:val="center"/>
        <w:rPr>
          <w:rFonts w:ascii="Cambria" w:eastAsia="Times New Roman" w:hAnsi="Cambria" w:cs="Times New Roman"/>
          <w:b/>
          <w:sz w:val="28"/>
          <w:szCs w:val="28"/>
        </w:rPr>
      </w:pPr>
    </w:p>
    <w:p w14:paraId="0A2E720B" w14:textId="518EF937" w:rsidR="000051D8" w:rsidRPr="00CF6ED4" w:rsidRDefault="000051D8" w:rsidP="000051D8">
      <w:pPr>
        <w:shd w:val="clear" w:color="auto" w:fill="FFFFFF"/>
        <w:spacing w:after="0" w:line="240" w:lineRule="auto"/>
        <w:jc w:val="center"/>
        <w:rPr>
          <w:rFonts w:ascii="Cambria" w:eastAsia="Times New Roman" w:hAnsi="Cambria" w:cs="Times New Roman"/>
          <w:b/>
          <w:sz w:val="28"/>
          <w:szCs w:val="28"/>
        </w:rPr>
      </w:pPr>
      <w:r w:rsidRPr="00CF6ED4">
        <w:rPr>
          <w:rFonts w:ascii="Cambria" w:eastAsia="Times New Roman" w:hAnsi="Cambria" w:cs="Times New Roman"/>
          <w:b/>
          <w:sz w:val="28"/>
          <w:szCs w:val="28"/>
        </w:rPr>
        <w:t>COVID-19 Impacts on Arkansas’ Agricultural and Rural Economies</w:t>
      </w:r>
    </w:p>
    <w:p w14:paraId="32D9C1D3"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p>
    <w:p w14:paraId="66ED8D79"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p>
    <w:p w14:paraId="42594249" w14:textId="77777777" w:rsidR="000051D8" w:rsidRPr="00CF6ED4" w:rsidRDefault="000051D8" w:rsidP="000051D8">
      <w:pPr>
        <w:shd w:val="clear" w:color="auto" w:fill="FFFFFF"/>
        <w:spacing w:after="0" w:line="240" w:lineRule="auto"/>
        <w:jc w:val="center"/>
        <w:rPr>
          <w:rFonts w:ascii="Cambria" w:eastAsia="Times New Roman" w:hAnsi="Cambria" w:cs="Times New Roman"/>
          <w:b/>
          <w:sz w:val="48"/>
          <w:szCs w:val="48"/>
        </w:rPr>
      </w:pPr>
      <w:r w:rsidRPr="00CF6ED4">
        <w:rPr>
          <w:rFonts w:ascii="Cambria" w:eastAsia="Times New Roman" w:hAnsi="Cambria" w:cs="Times New Roman"/>
          <w:b/>
          <w:sz w:val="48"/>
          <w:szCs w:val="48"/>
        </w:rPr>
        <w:t xml:space="preserve">UPDATE: </w:t>
      </w:r>
    </w:p>
    <w:p w14:paraId="7550B080" w14:textId="77777777" w:rsidR="000051D8" w:rsidRPr="00CF6ED4" w:rsidRDefault="00AB5685" w:rsidP="000051D8">
      <w:pPr>
        <w:shd w:val="clear" w:color="auto" w:fill="FFFFFF"/>
        <w:spacing w:after="0" w:line="240" w:lineRule="auto"/>
        <w:jc w:val="center"/>
        <w:rPr>
          <w:rFonts w:ascii="Cambria" w:eastAsia="Times New Roman" w:hAnsi="Cambria" w:cs="Times New Roman"/>
          <w:b/>
          <w:sz w:val="48"/>
          <w:szCs w:val="48"/>
        </w:rPr>
      </w:pPr>
      <w:r w:rsidRPr="00CF6ED4">
        <w:rPr>
          <w:rFonts w:ascii="Cambria" w:eastAsia="Times New Roman" w:hAnsi="Cambria" w:cs="Times New Roman"/>
          <w:b/>
          <w:sz w:val="48"/>
          <w:szCs w:val="48"/>
        </w:rPr>
        <w:t xml:space="preserve">Chicken Production and </w:t>
      </w:r>
      <w:r w:rsidR="005B11ED" w:rsidRPr="00CF6ED4">
        <w:rPr>
          <w:rFonts w:ascii="Cambria" w:eastAsia="Times New Roman" w:hAnsi="Cambria" w:cs="Times New Roman"/>
          <w:b/>
          <w:sz w:val="48"/>
          <w:szCs w:val="48"/>
        </w:rPr>
        <w:t>Wholesale Price</w:t>
      </w:r>
      <w:r w:rsidR="006B58A3" w:rsidRPr="00CF6ED4">
        <w:rPr>
          <w:rFonts w:ascii="Cambria" w:eastAsia="Times New Roman" w:hAnsi="Cambria" w:cs="Times New Roman"/>
          <w:b/>
          <w:sz w:val="48"/>
          <w:szCs w:val="48"/>
        </w:rPr>
        <w:t>s</w:t>
      </w:r>
    </w:p>
    <w:p w14:paraId="3390115E" w14:textId="77777777" w:rsidR="000051D8" w:rsidRPr="00CF6ED4" w:rsidRDefault="000051D8" w:rsidP="000051D8">
      <w:pPr>
        <w:shd w:val="clear" w:color="auto" w:fill="FFFFFF"/>
        <w:spacing w:after="0" w:line="240" w:lineRule="auto"/>
        <w:rPr>
          <w:rFonts w:ascii="Cambria" w:eastAsia="Times New Roman" w:hAnsi="Cambria" w:cs="Times New Roman"/>
          <w:b/>
        </w:rPr>
      </w:pPr>
    </w:p>
    <w:p w14:paraId="38F70828" w14:textId="77777777" w:rsidR="000051D8" w:rsidRPr="00CF6ED4" w:rsidRDefault="000051D8" w:rsidP="000051D8">
      <w:pPr>
        <w:shd w:val="clear" w:color="auto" w:fill="FFFFFF"/>
        <w:spacing w:after="0" w:line="240" w:lineRule="auto"/>
        <w:rPr>
          <w:rFonts w:ascii="Cambria" w:eastAsia="Times New Roman" w:hAnsi="Cambria" w:cs="Times New Roman"/>
          <w:b/>
        </w:rPr>
      </w:pPr>
    </w:p>
    <w:p w14:paraId="7800CB88"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r w:rsidRPr="00CF6ED4">
        <w:rPr>
          <w:rFonts w:ascii="Cambria" w:eastAsia="Times New Roman" w:hAnsi="Cambria" w:cs="Times New Roman"/>
          <w:b/>
        </w:rPr>
        <w:t>Prepared by:</w:t>
      </w:r>
    </w:p>
    <w:p w14:paraId="518D1AEA"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p>
    <w:p w14:paraId="2D4E5C40"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p>
    <w:p w14:paraId="3235C38A"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bookmarkStart w:id="0" w:name="_GoBack"/>
      <w:bookmarkEnd w:id="0"/>
      <w:r w:rsidRPr="00CF6ED4">
        <w:rPr>
          <w:rFonts w:ascii="Cambria" w:eastAsia="Times New Roman" w:hAnsi="Cambria" w:cs="Times New Roman"/>
          <w:b/>
        </w:rPr>
        <w:t>John Anderson</w:t>
      </w:r>
    </w:p>
    <w:p w14:paraId="539B5920"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r w:rsidRPr="00CF6ED4">
        <w:rPr>
          <w:rFonts w:ascii="Cambria" w:eastAsia="Times New Roman" w:hAnsi="Cambria" w:cs="Times New Roman"/>
          <w:b/>
        </w:rPr>
        <w:t xml:space="preserve">Department of Agricultural Economics and Agribusiness </w:t>
      </w:r>
    </w:p>
    <w:p w14:paraId="09B71238"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p>
    <w:p w14:paraId="4F42AFE8"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p>
    <w:p w14:paraId="4C632EA6"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p>
    <w:p w14:paraId="14016834" w14:textId="77777777" w:rsidR="000051D8" w:rsidRPr="00CF6ED4" w:rsidRDefault="006B58A3" w:rsidP="000051D8">
      <w:pPr>
        <w:shd w:val="clear" w:color="auto" w:fill="FFFFFF"/>
        <w:spacing w:after="0" w:line="240" w:lineRule="auto"/>
        <w:jc w:val="center"/>
        <w:rPr>
          <w:rFonts w:ascii="Cambria" w:eastAsia="Times New Roman" w:hAnsi="Cambria" w:cs="Times New Roman"/>
          <w:b/>
        </w:rPr>
      </w:pPr>
      <w:r w:rsidRPr="00CF6ED4">
        <w:rPr>
          <w:rFonts w:ascii="Cambria" w:eastAsia="Times New Roman" w:hAnsi="Cambria" w:cs="Times New Roman"/>
          <w:b/>
        </w:rPr>
        <w:t xml:space="preserve">July </w:t>
      </w:r>
      <w:r w:rsidR="005B11ED" w:rsidRPr="00CF6ED4">
        <w:rPr>
          <w:rFonts w:ascii="Cambria" w:eastAsia="Times New Roman" w:hAnsi="Cambria" w:cs="Times New Roman"/>
          <w:b/>
        </w:rPr>
        <w:t>2</w:t>
      </w:r>
      <w:r w:rsidRPr="00CF6ED4">
        <w:rPr>
          <w:rFonts w:ascii="Cambria" w:eastAsia="Times New Roman" w:hAnsi="Cambria" w:cs="Times New Roman"/>
          <w:b/>
        </w:rPr>
        <w:t>4</w:t>
      </w:r>
      <w:r w:rsidR="000051D8" w:rsidRPr="00CF6ED4">
        <w:rPr>
          <w:rFonts w:ascii="Cambria" w:eastAsia="Times New Roman" w:hAnsi="Cambria" w:cs="Times New Roman"/>
          <w:b/>
        </w:rPr>
        <w:t>, 2020</w:t>
      </w:r>
    </w:p>
    <w:p w14:paraId="15075AD3" w14:textId="77777777" w:rsidR="000051D8" w:rsidRPr="00CF6ED4" w:rsidRDefault="000051D8" w:rsidP="000051D8">
      <w:pPr>
        <w:shd w:val="clear" w:color="auto" w:fill="FFFFFF"/>
        <w:spacing w:after="0" w:line="240" w:lineRule="auto"/>
        <w:jc w:val="center"/>
        <w:rPr>
          <w:rFonts w:ascii="Cambria" w:eastAsia="Times New Roman" w:hAnsi="Cambria" w:cs="Times New Roman"/>
          <w:b/>
        </w:rPr>
      </w:pPr>
    </w:p>
    <w:p w14:paraId="56341283" w14:textId="77777777" w:rsidR="005B11ED" w:rsidRPr="00CF6ED4" w:rsidRDefault="000051D8" w:rsidP="000051D8">
      <w:pPr>
        <w:rPr>
          <w:rFonts w:ascii="Cambria" w:hAnsi="Cambria"/>
          <w:b/>
        </w:rPr>
      </w:pPr>
      <w:r w:rsidRPr="00CF6ED4">
        <w:rPr>
          <w:rFonts w:ascii="Cambria" w:hAnsi="Cambria"/>
        </w:rPr>
        <w:br w:type="page"/>
      </w:r>
    </w:p>
    <w:p w14:paraId="26B71ED5" w14:textId="77777777" w:rsidR="006D5F29" w:rsidRPr="00CF6ED4" w:rsidRDefault="006D5F29">
      <w:pPr>
        <w:rPr>
          <w:rFonts w:ascii="Cambria" w:hAnsi="Cambria"/>
        </w:rPr>
      </w:pPr>
      <w:r w:rsidRPr="00CF6ED4">
        <w:rPr>
          <w:rFonts w:ascii="Cambria" w:hAnsi="Cambria"/>
        </w:rPr>
        <w:lastRenderedPageBreak/>
        <w:t>Data on broiler processing volumes suggest that</w:t>
      </w:r>
      <w:r w:rsidR="008B6A95" w:rsidRPr="00CF6ED4">
        <w:rPr>
          <w:rFonts w:ascii="Cambria" w:hAnsi="Cambria"/>
        </w:rPr>
        <w:t xml:space="preserve">, while </w:t>
      </w:r>
      <w:r w:rsidRPr="00CF6ED4">
        <w:rPr>
          <w:rFonts w:ascii="Cambria" w:hAnsi="Cambria"/>
        </w:rPr>
        <w:t xml:space="preserve">the sector has </w:t>
      </w:r>
      <w:r w:rsidR="008B6A95" w:rsidRPr="00CF6ED4">
        <w:rPr>
          <w:rFonts w:ascii="Cambria" w:hAnsi="Cambria"/>
        </w:rPr>
        <w:t xml:space="preserve">recovered from the worst of the </w:t>
      </w:r>
      <w:r w:rsidRPr="00CF6ED4">
        <w:rPr>
          <w:rFonts w:ascii="Cambria" w:hAnsi="Cambria"/>
        </w:rPr>
        <w:t>massive shock from COVID-19</w:t>
      </w:r>
      <w:r w:rsidR="008B6A95" w:rsidRPr="00CF6ED4">
        <w:rPr>
          <w:rFonts w:ascii="Cambria" w:hAnsi="Cambria"/>
        </w:rPr>
        <w:t>, the effects of the pandemic are still being felt</w:t>
      </w:r>
      <w:r w:rsidR="00854084" w:rsidRPr="00CF6ED4">
        <w:rPr>
          <w:rFonts w:ascii="Cambria" w:hAnsi="Cambria"/>
        </w:rPr>
        <w:t>.</w:t>
      </w:r>
      <w:r w:rsidRPr="00CF6ED4">
        <w:rPr>
          <w:rFonts w:ascii="Cambria" w:hAnsi="Cambria"/>
        </w:rPr>
        <w:t xml:space="preserve">  Figure 1 shows weekly broiler slaughter for 201</w:t>
      </w:r>
      <w:r w:rsidR="008B6A95" w:rsidRPr="00CF6ED4">
        <w:rPr>
          <w:rFonts w:ascii="Cambria" w:hAnsi="Cambria"/>
        </w:rPr>
        <w:t>9</w:t>
      </w:r>
      <w:r w:rsidRPr="00CF6ED4">
        <w:rPr>
          <w:rFonts w:ascii="Cambria" w:hAnsi="Cambria"/>
        </w:rPr>
        <w:t xml:space="preserve"> through </w:t>
      </w:r>
      <w:r w:rsidR="003E297B" w:rsidRPr="00CF6ED4">
        <w:rPr>
          <w:rFonts w:ascii="Cambria" w:hAnsi="Cambria"/>
        </w:rPr>
        <w:t xml:space="preserve">the week ending July 18, </w:t>
      </w:r>
      <w:r w:rsidRPr="00CF6ED4">
        <w:rPr>
          <w:rFonts w:ascii="Cambria" w:hAnsi="Cambria"/>
        </w:rPr>
        <w:t xml:space="preserve">2020 </w:t>
      </w:r>
      <w:r w:rsidR="003E297B" w:rsidRPr="00CF6ED4">
        <w:rPr>
          <w:rFonts w:ascii="Cambria" w:hAnsi="Cambria"/>
        </w:rPr>
        <w:t>(most recent available)</w:t>
      </w:r>
      <w:r w:rsidRPr="00CF6ED4">
        <w:rPr>
          <w:rFonts w:ascii="Cambria" w:hAnsi="Cambria"/>
        </w:rPr>
        <w:t xml:space="preserve">.  </w:t>
      </w:r>
    </w:p>
    <w:p w14:paraId="5A2692CA" w14:textId="77777777" w:rsidR="00854084" w:rsidRPr="00CF6ED4" w:rsidRDefault="003E297B">
      <w:pPr>
        <w:rPr>
          <w:rFonts w:ascii="Cambria" w:hAnsi="Cambria"/>
        </w:rPr>
      </w:pPr>
      <w:r w:rsidRPr="00CF6ED4">
        <w:rPr>
          <w:rFonts w:ascii="Cambria" w:hAnsi="Cambria"/>
          <w:noProof/>
        </w:rPr>
        <w:drawing>
          <wp:inline distT="0" distB="0" distL="0" distR="0" wp14:anchorId="3AB7C58D" wp14:editId="3722768F">
            <wp:extent cx="4864100" cy="2387600"/>
            <wp:effectExtent l="0" t="0" r="0" b="0"/>
            <wp:docPr id="1" name="Chart 1">
              <a:extLst xmlns:a="http://schemas.openxmlformats.org/drawingml/2006/main">
                <a:ext uri="{FF2B5EF4-FFF2-40B4-BE49-F238E27FC236}">
                  <a16:creationId xmlns:a16="http://schemas.microsoft.com/office/drawing/2014/main" id="{45500DFB-CE26-455C-BB0E-F6A3373046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54084" w:rsidRPr="00CF6ED4">
        <w:rPr>
          <w:rFonts w:ascii="Cambria" w:hAnsi="Cambria"/>
        </w:rPr>
        <w:t xml:space="preserve">  </w:t>
      </w:r>
    </w:p>
    <w:p w14:paraId="14DA3F2E" w14:textId="77777777" w:rsidR="00854084" w:rsidRPr="00CF6ED4" w:rsidRDefault="00854084">
      <w:pPr>
        <w:rPr>
          <w:rFonts w:ascii="Cambria" w:hAnsi="Cambria"/>
        </w:rPr>
      </w:pPr>
    </w:p>
    <w:p w14:paraId="13B67B7D" w14:textId="77777777" w:rsidR="00035376" w:rsidRPr="00CF6ED4" w:rsidRDefault="00854084">
      <w:pPr>
        <w:rPr>
          <w:rFonts w:ascii="Cambria" w:hAnsi="Cambria"/>
          <w:sz w:val="20"/>
          <w:szCs w:val="20"/>
        </w:rPr>
      </w:pPr>
      <w:r w:rsidRPr="00CF6ED4">
        <w:rPr>
          <w:rFonts w:ascii="Cambria" w:hAnsi="Cambria"/>
          <w:sz w:val="20"/>
          <w:szCs w:val="20"/>
        </w:rPr>
        <w:t xml:space="preserve">Data Source: USDA </w:t>
      </w:r>
      <w:r w:rsidR="008B6A95" w:rsidRPr="00CF6ED4">
        <w:rPr>
          <w:rFonts w:ascii="Cambria" w:hAnsi="Cambria"/>
          <w:sz w:val="20"/>
          <w:szCs w:val="20"/>
        </w:rPr>
        <w:t>Agricultural Marketing Service through Livestock Marketing Information Center</w:t>
      </w:r>
    </w:p>
    <w:p w14:paraId="5AAC3197" w14:textId="77777777" w:rsidR="00854084" w:rsidRPr="00CF6ED4" w:rsidRDefault="00854084">
      <w:pPr>
        <w:rPr>
          <w:rFonts w:ascii="Cambria" w:hAnsi="Cambria"/>
        </w:rPr>
      </w:pPr>
      <w:r w:rsidRPr="00CF6ED4">
        <w:rPr>
          <w:rFonts w:ascii="Cambria" w:hAnsi="Cambria"/>
          <w:b/>
        </w:rPr>
        <w:t>Figure 1.</w:t>
      </w:r>
      <w:r w:rsidRPr="00CF6ED4">
        <w:rPr>
          <w:rFonts w:ascii="Cambria" w:hAnsi="Cambria"/>
        </w:rPr>
        <w:t xml:space="preserve">  Weekly </w:t>
      </w:r>
      <w:r w:rsidR="008B6A95" w:rsidRPr="00CF6ED4">
        <w:rPr>
          <w:rFonts w:ascii="Cambria" w:hAnsi="Cambria"/>
        </w:rPr>
        <w:t>Federally Inspected Young Chicken Slaughter</w:t>
      </w:r>
    </w:p>
    <w:p w14:paraId="1AF75D20" w14:textId="77777777" w:rsidR="0021778D" w:rsidRPr="00CF6ED4" w:rsidRDefault="008B6A95">
      <w:pPr>
        <w:rPr>
          <w:rFonts w:ascii="Cambria" w:hAnsi="Cambria"/>
        </w:rPr>
      </w:pPr>
      <w:r w:rsidRPr="00CF6ED4">
        <w:rPr>
          <w:rFonts w:ascii="Cambria" w:hAnsi="Cambria"/>
        </w:rPr>
        <w:t xml:space="preserve">Processing volumes have bounced back from the sharp declines posted at the end of April; but those volumes remain consistently below 2019 levels – despite the fact that the industry was on pace for a substantial year-over-year increase in production at the beginning of 2020.  </w:t>
      </w:r>
      <w:r w:rsidR="004E24DB" w:rsidRPr="00CF6ED4">
        <w:rPr>
          <w:rFonts w:ascii="Cambria" w:hAnsi="Cambria"/>
        </w:rPr>
        <w:t xml:space="preserve">Since the beginning of April, young chicken slaughter has averaged about 3.5% below the prior year level.  For much of that time, as integrators worked through significant processing plant disruptions, bird weights were quite a bit higher than normal.  For example, for the five weeks from the middle of May through the middle of June, the federally-inspected young chicken live weight averaged 6.42 pounds.  This was nearly 5% higher than the average weight for this five-week period over the previous five years.  This increase in bird weights kept broiler production close to or above year-ago levels for most of May and the first part of June despite reduced slaughter volumes.  </w:t>
      </w:r>
      <w:r w:rsidR="00A62B7B" w:rsidRPr="00CF6ED4">
        <w:rPr>
          <w:rFonts w:ascii="Cambria" w:hAnsi="Cambria"/>
        </w:rPr>
        <w:t xml:space="preserve">For about the past month, though, bird weights have returned to more normal levels while, as noted, slaughter volumes continue to lag.  Thus, total broiler production in recent weeks has been significantly below the prior year.  Since mid-June, broiler production is averaging almost 4% below 2019.  Given the magnitude of the supply and demand side shocks that the industry has received so far in 2020, this is a remarkable performance.  Still, it represents a significant loss for an industry that started the year expected growth of greater than 3%.  </w:t>
      </w:r>
    </w:p>
    <w:p w14:paraId="1EBC645A" w14:textId="77777777" w:rsidR="00833732" w:rsidRPr="00CF6ED4" w:rsidRDefault="00A62B7B">
      <w:pPr>
        <w:rPr>
          <w:rFonts w:ascii="Cambria" w:hAnsi="Cambria"/>
        </w:rPr>
      </w:pPr>
      <w:r w:rsidRPr="00CF6ED4">
        <w:rPr>
          <w:rFonts w:ascii="Cambria" w:hAnsi="Cambria"/>
        </w:rPr>
        <w:t xml:space="preserve">In fact, the continuing lag in broiler production most likely understates the negative effects of COVID on the industry, capturing primarily the supply-side effects of processing plant disruptions.  Despite the reduced availability of product, broiler prices are mostly lower than year-ago levels. </w:t>
      </w:r>
      <w:r w:rsidR="00977EFE" w:rsidRPr="00CF6ED4">
        <w:rPr>
          <w:rFonts w:ascii="Cambria" w:hAnsi="Cambria"/>
        </w:rPr>
        <w:t xml:space="preserve">Figure </w:t>
      </w:r>
      <w:r w:rsidR="00833732" w:rsidRPr="00CF6ED4">
        <w:rPr>
          <w:rFonts w:ascii="Cambria" w:hAnsi="Cambria"/>
        </w:rPr>
        <w:t xml:space="preserve">2 shows the national average broiler composite price (a </w:t>
      </w:r>
      <w:r w:rsidR="00130E10" w:rsidRPr="00CF6ED4">
        <w:rPr>
          <w:rFonts w:ascii="Cambria" w:hAnsi="Cambria"/>
        </w:rPr>
        <w:t>weighted average of whole bird prices</w:t>
      </w:r>
      <w:r w:rsidR="00833732" w:rsidRPr="00CF6ED4">
        <w:rPr>
          <w:rFonts w:ascii="Cambria" w:hAnsi="Cambria"/>
        </w:rPr>
        <w:t xml:space="preserve">). </w:t>
      </w:r>
    </w:p>
    <w:p w14:paraId="3C628E5D" w14:textId="77777777" w:rsidR="00833732" w:rsidRPr="00CF6ED4" w:rsidRDefault="00694B7E">
      <w:pPr>
        <w:rPr>
          <w:rFonts w:ascii="Cambria" w:hAnsi="Cambria"/>
        </w:rPr>
      </w:pPr>
      <w:r w:rsidRPr="00CF6ED4">
        <w:rPr>
          <w:rFonts w:ascii="Cambria" w:hAnsi="Cambria"/>
          <w:noProof/>
        </w:rPr>
        <w:lastRenderedPageBreak/>
        <w:drawing>
          <wp:inline distT="0" distB="0" distL="0" distR="0" wp14:anchorId="402B189A" wp14:editId="505B9ED1">
            <wp:extent cx="5461000" cy="2844800"/>
            <wp:effectExtent l="0" t="0" r="6350" b="0"/>
            <wp:docPr id="4" name="Chart 4">
              <a:extLst xmlns:a="http://schemas.openxmlformats.org/drawingml/2006/main">
                <a:ext uri="{FF2B5EF4-FFF2-40B4-BE49-F238E27FC236}">
                  <a16:creationId xmlns:a16="http://schemas.microsoft.com/office/drawing/2014/main" id="{00000000-0008-0000-0000-0000BC2D0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FC4C12" w14:textId="77777777" w:rsidR="00833732" w:rsidRPr="00CF6ED4" w:rsidRDefault="00833732" w:rsidP="00833732">
      <w:pPr>
        <w:rPr>
          <w:rFonts w:ascii="Cambria" w:hAnsi="Cambria"/>
          <w:sz w:val="20"/>
          <w:szCs w:val="20"/>
        </w:rPr>
      </w:pPr>
      <w:r w:rsidRPr="00CF6ED4">
        <w:rPr>
          <w:rFonts w:ascii="Cambria" w:hAnsi="Cambria"/>
          <w:sz w:val="20"/>
          <w:szCs w:val="20"/>
        </w:rPr>
        <w:t>Data Source: USDA Agricultural Marketing Service through Livestock Marketing Information Center</w:t>
      </w:r>
    </w:p>
    <w:p w14:paraId="08FF108E" w14:textId="77777777" w:rsidR="00833732" w:rsidRPr="00CF6ED4" w:rsidRDefault="00833732" w:rsidP="00833732">
      <w:pPr>
        <w:rPr>
          <w:rFonts w:ascii="Cambria" w:hAnsi="Cambria"/>
        </w:rPr>
      </w:pPr>
      <w:r w:rsidRPr="00CF6ED4">
        <w:rPr>
          <w:rFonts w:ascii="Cambria" w:hAnsi="Cambria"/>
          <w:b/>
        </w:rPr>
        <w:t xml:space="preserve">Figure </w:t>
      </w:r>
      <w:r w:rsidR="00694B7E" w:rsidRPr="00CF6ED4">
        <w:rPr>
          <w:rFonts w:ascii="Cambria" w:hAnsi="Cambria"/>
          <w:b/>
        </w:rPr>
        <w:t>2</w:t>
      </w:r>
      <w:r w:rsidRPr="00CF6ED4">
        <w:rPr>
          <w:rFonts w:ascii="Cambria" w:hAnsi="Cambria"/>
          <w:b/>
        </w:rPr>
        <w:t>.</w:t>
      </w:r>
      <w:r w:rsidRPr="00CF6ED4">
        <w:rPr>
          <w:rFonts w:ascii="Cambria" w:hAnsi="Cambria"/>
        </w:rPr>
        <w:t xml:space="preserve">  Weekly Average National Broiler Composite Price</w:t>
      </w:r>
    </w:p>
    <w:p w14:paraId="3C2ACC09" w14:textId="77777777" w:rsidR="00AB5685" w:rsidRPr="00CF6ED4" w:rsidRDefault="00130E10">
      <w:pPr>
        <w:rPr>
          <w:rFonts w:ascii="Cambria" w:hAnsi="Cambria"/>
        </w:rPr>
      </w:pPr>
      <w:r w:rsidRPr="00CF6ED4">
        <w:rPr>
          <w:rFonts w:ascii="Cambria" w:hAnsi="Cambria"/>
        </w:rPr>
        <w:t>Most individual cut prices are also significantly lower over the past month or so.  For example, boneless/skinless breast and leg quarter prices are down 6% and 13%, respectively, since mid-June.</w:t>
      </w:r>
    </w:p>
    <w:p w14:paraId="50E254CD" w14:textId="2BBB9A28" w:rsidR="009F0A7E" w:rsidRDefault="00A62B7B" w:rsidP="00AB5685">
      <w:pPr>
        <w:rPr>
          <w:rFonts w:ascii="Cambria" w:hAnsi="Cambria"/>
        </w:rPr>
      </w:pPr>
      <w:r w:rsidRPr="00CF6ED4">
        <w:rPr>
          <w:rFonts w:ascii="Cambria" w:hAnsi="Cambria"/>
        </w:rPr>
        <w:t xml:space="preserve">With steady demand, a down shift in supply </w:t>
      </w:r>
      <w:r w:rsidR="00AB5685" w:rsidRPr="00CF6ED4">
        <w:rPr>
          <w:rFonts w:ascii="Cambria" w:hAnsi="Cambria"/>
        </w:rPr>
        <w:t>would result</w:t>
      </w:r>
      <w:r w:rsidRPr="00CF6ED4">
        <w:rPr>
          <w:rFonts w:ascii="Cambria" w:hAnsi="Cambria"/>
        </w:rPr>
        <w:t xml:space="preserve"> in an increase in prices.  </w:t>
      </w:r>
      <w:r w:rsidR="00AB5685" w:rsidRPr="00CF6ED4">
        <w:rPr>
          <w:rFonts w:ascii="Cambria" w:hAnsi="Cambria"/>
        </w:rPr>
        <w:t>The current</w:t>
      </w:r>
      <w:r w:rsidR="00130E10" w:rsidRPr="00CF6ED4">
        <w:rPr>
          <w:rFonts w:ascii="Cambria" w:hAnsi="Cambria"/>
        </w:rPr>
        <w:t xml:space="preserve"> l</w:t>
      </w:r>
      <w:r w:rsidRPr="00CF6ED4">
        <w:rPr>
          <w:rFonts w:ascii="Cambria" w:hAnsi="Cambria"/>
        </w:rPr>
        <w:t>ower prices a</w:t>
      </w:r>
      <w:r w:rsidR="00AB5685" w:rsidRPr="00CF6ED4">
        <w:rPr>
          <w:rFonts w:ascii="Cambria" w:hAnsi="Cambria"/>
        </w:rPr>
        <w:t>ccompanying a</w:t>
      </w:r>
      <w:r w:rsidRPr="00CF6ED4">
        <w:rPr>
          <w:rFonts w:ascii="Cambria" w:hAnsi="Cambria"/>
        </w:rPr>
        <w:t xml:space="preserve"> lower supply suggest a decline in demand – not too surprising given the negative impact of COVID on the general economy</w:t>
      </w:r>
      <w:r w:rsidR="006C5887" w:rsidRPr="00CF6ED4">
        <w:rPr>
          <w:rFonts w:ascii="Cambria" w:hAnsi="Cambria"/>
        </w:rPr>
        <w:t xml:space="preserve"> and particularly on the food service sector</w:t>
      </w:r>
      <w:r w:rsidR="00130E10" w:rsidRPr="00CF6ED4">
        <w:rPr>
          <w:rFonts w:ascii="Cambria" w:hAnsi="Cambria"/>
        </w:rPr>
        <w:t xml:space="preserve">. </w:t>
      </w:r>
      <w:r w:rsidR="00AB5685" w:rsidRPr="00CF6ED4">
        <w:rPr>
          <w:rFonts w:ascii="Cambria" w:hAnsi="Cambria"/>
        </w:rPr>
        <w:t xml:space="preserve"> Lower prices and production ultimately mean lower value in the sector.  As noted, this is a relatively dramatic swing for an industry that was anticipating robust growth before the pandemic hit.</w:t>
      </w:r>
    </w:p>
    <w:p w14:paraId="5715C93F" w14:textId="79D6521F" w:rsidR="00CF6ED4" w:rsidRDefault="00CF6ED4" w:rsidP="00AB5685">
      <w:pPr>
        <w:rPr>
          <w:rFonts w:ascii="Cambria" w:hAnsi="Cambria"/>
        </w:rPr>
      </w:pPr>
    </w:p>
    <w:p w14:paraId="2E19601B" w14:textId="1E88B491" w:rsidR="00CF6ED4" w:rsidRDefault="00CF6ED4" w:rsidP="00AB5685">
      <w:pPr>
        <w:rPr>
          <w:rFonts w:ascii="Cambria" w:hAnsi="Cambria"/>
        </w:rPr>
      </w:pPr>
    </w:p>
    <w:p w14:paraId="7D83E076" w14:textId="4746FB23" w:rsidR="00CF6ED4" w:rsidRDefault="00CF6ED4" w:rsidP="00AB5685">
      <w:pPr>
        <w:rPr>
          <w:rFonts w:ascii="Cambria" w:hAnsi="Cambria"/>
        </w:rPr>
      </w:pPr>
    </w:p>
    <w:p w14:paraId="091D59B1" w14:textId="460684F6" w:rsidR="00CF6ED4" w:rsidRDefault="00CF6ED4" w:rsidP="00AB5685">
      <w:pPr>
        <w:rPr>
          <w:rFonts w:ascii="Cambria" w:hAnsi="Cambria"/>
        </w:rPr>
      </w:pPr>
    </w:p>
    <w:p w14:paraId="0327AAE9" w14:textId="23D46272" w:rsidR="00CF6ED4" w:rsidRDefault="00CF6ED4" w:rsidP="00AB5685">
      <w:pPr>
        <w:rPr>
          <w:rFonts w:ascii="Cambria" w:hAnsi="Cambria"/>
        </w:rPr>
      </w:pPr>
    </w:p>
    <w:p w14:paraId="25D172EE" w14:textId="77777777" w:rsidR="00CF6ED4" w:rsidRPr="00CF6ED4" w:rsidRDefault="00CF6ED4" w:rsidP="00AB5685">
      <w:pPr>
        <w:rPr>
          <w:rFonts w:ascii="Cambria" w:hAnsi="Cambria"/>
        </w:rPr>
      </w:pPr>
    </w:p>
    <w:p w14:paraId="423503B1" w14:textId="77777777" w:rsidR="00CF6ED4" w:rsidRPr="00CF6ED4" w:rsidRDefault="00CF6ED4" w:rsidP="00CF6ED4">
      <w:pPr>
        <w:rPr>
          <w:rFonts w:ascii="Cambria" w:hAnsi="Cambria"/>
          <w:color w:val="BFBFBF" w:themeColor="background1" w:themeShade="BF"/>
        </w:rPr>
      </w:pPr>
      <w:r w:rsidRPr="00CF6ED4">
        <w:rPr>
          <w:rFonts w:ascii="Cambria" w:hAnsi="Cambria"/>
          <w:color w:val="BFBFBF" w:themeColor="background1" w:themeShade="BF"/>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5DC2D05" w14:textId="77777777" w:rsidR="009F0A7E" w:rsidRPr="00CF6ED4" w:rsidRDefault="009F0A7E">
      <w:pPr>
        <w:rPr>
          <w:rFonts w:ascii="Cambria" w:hAnsi="Cambria"/>
        </w:rPr>
      </w:pPr>
    </w:p>
    <w:sectPr w:rsidR="009F0A7E" w:rsidRPr="00CF6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18D71" w14:textId="77777777" w:rsidR="00ED7749" w:rsidRDefault="00ED7749" w:rsidP="00C81B41">
      <w:pPr>
        <w:spacing w:after="0" w:line="240" w:lineRule="auto"/>
      </w:pPr>
      <w:r>
        <w:separator/>
      </w:r>
    </w:p>
  </w:endnote>
  <w:endnote w:type="continuationSeparator" w:id="0">
    <w:p w14:paraId="792C41A5" w14:textId="77777777" w:rsidR="00ED7749" w:rsidRDefault="00ED7749" w:rsidP="00C8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C9D5" w14:textId="77777777" w:rsidR="00ED7749" w:rsidRDefault="00ED7749" w:rsidP="00C81B41">
      <w:pPr>
        <w:spacing w:after="0" w:line="240" w:lineRule="auto"/>
      </w:pPr>
      <w:r>
        <w:separator/>
      </w:r>
    </w:p>
  </w:footnote>
  <w:footnote w:type="continuationSeparator" w:id="0">
    <w:p w14:paraId="6C01D617" w14:textId="77777777" w:rsidR="00ED7749" w:rsidRDefault="00ED7749" w:rsidP="00C81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41"/>
    <w:rsid w:val="000051D8"/>
    <w:rsid w:val="00035376"/>
    <w:rsid w:val="000F0DD6"/>
    <w:rsid w:val="00130E10"/>
    <w:rsid w:val="0021778D"/>
    <w:rsid w:val="003E297B"/>
    <w:rsid w:val="004E24DB"/>
    <w:rsid w:val="005B11ED"/>
    <w:rsid w:val="005F3569"/>
    <w:rsid w:val="00694B7E"/>
    <w:rsid w:val="006B4DA6"/>
    <w:rsid w:val="006B58A3"/>
    <w:rsid w:val="006C5887"/>
    <w:rsid w:val="006D5F29"/>
    <w:rsid w:val="00833732"/>
    <w:rsid w:val="00854084"/>
    <w:rsid w:val="008B6A95"/>
    <w:rsid w:val="008F6336"/>
    <w:rsid w:val="00977EFE"/>
    <w:rsid w:val="009F0A7E"/>
    <w:rsid w:val="00A62B7B"/>
    <w:rsid w:val="00AB5685"/>
    <w:rsid w:val="00C81B41"/>
    <w:rsid w:val="00CF6ED4"/>
    <w:rsid w:val="00E9494E"/>
    <w:rsid w:val="00ED7749"/>
    <w:rsid w:val="00F364C2"/>
    <w:rsid w:val="00FB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BBC5"/>
  <w15:chartTrackingRefBased/>
  <w15:docId w15:val="{06B96806-0A24-4F3F-B6E9-F1E63AE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1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B41"/>
    <w:rPr>
      <w:sz w:val="20"/>
      <w:szCs w:val="20"/>
    </w:rPr>
  </w:style>
  <w:style w:type="character" w:styleId="FootnoteReference">
    <w:name w:val="footnote reference"/>
    <w:basedOn w:val="DefaultParagraphFont"/>
    <w:uiPriority w:val="99"/>
    <w:semiHidden/>
    <w:unhideWhenUsed/>
    <w:rsid w:val="00C81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88495302316976"/>
          <c:y val="5.0925925925925923E-2"/>
          <c:w val="0.78024115458152599"/>
          <c:h val="0.68389617964421101"/>
        </c:manualLayout>
      </c:layout>
      <c:lineChart>
        <c:grouping val="standard"/>
        <c:varyColors val="0"/>
        <c:ser>
          <c:idx val="0"/>
          <c:order val="0"/>
          <c:tx>
            <c:strRef>
              <c:f>Sheet3!$N$4</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Sheet3!$E$4:$E$55</c:f>
              <c:numCache>
                <c:formatCode>#,##0</c:formatCode>
                <c:ptCount val="52"/>
                <c:pt idx="0">
                  <c:v>137882</c:v>
                </c:pt>
                <c:pt idx="1">
                  <c:v>165877</c:v>
                </c:pt>
                <c:pt idx="2">
                  <c:v>167857</c:v>
                </c:pt>
                <c:pt idx="3">
                  <c:v>158086</c:v>
                </c:pt>
                <c:pt idx="4">
                  <c:v>163174</c:v>
                </c:pt>
                <c:pt idx="5">
                  <c:v>162013</c:v>
                </c:pt>
                <c:pt idx="6">
                  <c:v>161570</c:v>
                </c:pt>
                <c:pt idx="7">
                  <c:v>160194</c:v>
                </c:pt>
                <c:pt idx="8">
                  <c:v>162582</c:v>
                </c:pt>
                <c:pt idx="9">
                  <c:v>160268</c:v>
                </c:pt>
                <c:pt idx="10">
                  <c:v>160746</c:v>
                </c:pt>
                <c:pt idx="11">
                  <c:v>163402</c:v>
                </c:pt>
                <c:pt idx="12">
                  <c:v>161340</c:v>
                </c:pt>
                <c:pt idx="13">
                  <c:v>164278</c:v>
                </c:pt>
                <c:pt idx="14">
                  <c:v>164410</c:v>
                </c:pt>
                <c:pt idx="15">
                  <c:v>158639</c:v>
                </c:pt>
                <c:pt idx="16">
                  <c:v>158131</c:v>
                </c:pt>
                <c:pt idx="17">
                  <c:v>164087</c:v>
                </c:pt>
                <c:pt idx="18">
                  <c:v>164441</c:v>
                </c:pt>
                <c:pt idx="19">
                  <c:v>166906</c:v>
                </c:pt>
                <c:pt idx="20">
                  <c:v>171691</c:v>
                </c:pt>
                <c:pt idx="21">
                  <c:v>148805</c:v>
                </c:pt>
                <c:pt idx="22">
                  <c:v>168955</c:v>
                </c:pt>
                <c:pt idx="23">
                  <c:v>168844</c:v>
                </c:pt>
                <c:pt idx="24">
                  <c:v>169609</c:v>
                </c:pt>
                <c:pt idx="25">
                  <c:v>176310</c:v>
                </c:pt>
                <c:pt idx="26">
                  <c:v>152427</c:v>
                </c:pt>
                <c:pt idx="27">
                  <c:v>171800</c:v>
                </c:pt>
                <c:pt idx="28">
                  <c:v>167859</c:v>
                </c:pt>
                <c:pt idx="29">
                  <c:v>169641</c:v>
                </c:pt>
                <c:pt idx="30">
                  <c:v>172347</c:v>
                </c:pt>
                <c:pt idx="31">
                  <c:v>172355</c:v>
                </c:pt>
                <c:pt idx="32">
                  <c:v>173998</c:v>
                </c:pt>
                <c:pt idx="33">
                  <c:v>174094</c:v>
                </c:pt>
                <c:pt idx="34">
                  <c:v>177907</c:v>
                </c:pt>
                <c:pt idx="35">
                  <c:v>148929</c:v>
                </c:pt>
                <c:pt idx="36">
                  <c:v>173696</c:v>
                </c:pt>
                <c:pt idx="37">
                  <c:v>174993</c:v>
                </c:pt>
                <c:pt idx="38">
                  <c:v>175151</c:v>
                </c:pt>
                <c:pt idx="39">
                  <c:v>175426</c:v>
                </c:pt>
                <c:pt idx="40">
                  <c:v>174574</c:v>
                </c:pt>
                <c:pt idx="41">
                  <c:v>174327</c:v>
                </c:pt>
                <c:pt idx="42">
                  <c:v>172753</c:v>
                </c:pt>
                <c:pt idx="43">
                  <c:v>172986</c:v>
                </c:pt>
                <c:pt idx="44">
                  <c:v>172352</c:v>
                </c:pt>
                <c:pt idx="45">
                  <c:v>168705</c:v>
                </c:pt>
                <c:pt idx="46">
                  <c:v>164828</c:v>
                </c:pt>
                <c:pt idx="47">
                  <c:v>129887</c:v>
                </c:pt>
                <c:pt idx="48">
                  <c:v>171941</c:v>
                </c:pt>
                <c:pt idx="49">
                  <c:v>167279</c:v>
                </c:pt>
                <c:pt idx="50">
                  <c:v>171899</c:v>
                </c:pt>
                <c:pt idx="51">
                  <c:v>127491</c:v>
                </c:pt>
              </c:numCache>
            </c:numRef>
          </c:val>
          <c:smooth val="0"/>
          <c:extLst>
            <c:ext xmlns:c16="http://schemas.microsoft.com/office/drawing/2014/chart" uri="{C3380CC4-5D6E-409C-BE32-E72D297353CC}">
              <c16:uniqueId val="{00000000-12D7-428E-BCB6-FDAE77C95364}"/>
            </c:ext>
          </c:extLst>
        </c:ser>
        <c:ser>
          <c:idx val="1"/>
          <c:order val="1"/>
          <c:tx>
            <c:strRef>
              <c:f>Sheet3!$N$5</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Sheet3!$E$56:$E$85</c:f>
              <c:numCache>
                <c:formatCode>#,##0</c:formatCode>
                <c:ptCount val="30"/>
                <c:pt idx="0">
                  <c:v>146507</c:v>
                </c:pt>
                <c:pt idx="1">
                  <c:v>173135</c:v>
                </c:pt>
                <c:pt idx="2">
                  <c:v>174538</c:v>
                </c:pt>
                <c:pt idx="3">
                  <c:v>166070</c:v>
                </c:pt>
                <c:pt idx="4">
                  <c:v>171982</c:v>
                </c:pt>
                <c:pt idx="5">
                  <c:v>171276</c:v>
                </c:pt>
                <c:pt idx="6">
                  <c:v>170974</c:v>
                </c:pt>
                <c:pt idx="7">
                  <c:v>169956</c:v>
                </c:pt>
                <c:pt idx="8">
                  <c:v>170749</c:v>
                </c:pt>
                <c:pt idx="9">
                  <c:v>170274</c:v>
                </c:pt>
                <c:pt idx="10">
                  <c:v>170505</c:v>
                </c:pt>
                <c:pt idx="11">
                  <c:v>171690</c:v>
                </c:pt>
                <c:pt idx="12">
                  <c:v>169683</c:v>
                </c:pt>
                <c:pt idx="13">
                  <c:v>164732</c:v>
                </c:pt>
                <c:pt idx="14">
                  <c:v>155111</c:v>
                </c:pt>
                <c:pt idx="15">
                  <c:v>149720</c:v>
                </c:pt>
                <c:pt idx="16">
                  <c:v>156020</c:v>
                </c:pt>
                <c:pt idx="17">
                  <c:v>162022</c:v>
                </c:pt>
                <c:pt idx="18">
                  <c:v>162954</c:v>
                </c:pt>
                <c:pt idx="19">
                  <c:v>160598</c:v>
                </c:pt>
                <c:pt idx="20">
                  <c:v>162218</c:v>
                </c:pt>
                <c:pt idx="21">
                  <c:v>145550</c:v>
                </c:pt>
                <c:pt idx="22">
                  <c:v>161798</c:v>
                </c:pt>
                <c:pt idx="23">
                  <c:v>162762</c:v>
                </c:pt>
                <c:pt idx="24">
                  <c:v>161890</c:v>
                </c:pt>
                <c:pt idx="25">
                  <c:v>164757</c:v>
                </c:pt>
                <c:pt idx="26">
                  <c:v>147821</c:v>
                </c:pt>
                <c:pt idx="27">
                  <c:v>165184</c:v>
                </c:pt>
                <c:pt idx="28">
                  <c:v>162082</c:v>
                </c:pt>
              </c:numCache>
            </c:numRef>
          </c:val>
          <c:smooth val="0"/>
          <c:extLst>
            <c:ext xmlns:c16="http://schemas.microsoft.com/office/drawing/2014/chart" uri="{C3380CC4-5D6E-409C-BE32-E72D297353CC}">
              <c16:uniqueId val="{00000001-12D7-428E-BCB6-FDAE77C95364}"/>
            </c:ext>
          </c:extLst>
        </c:ser>
        <c:dLbls>
          <c:showLegendKey val="0"/>
          <c:showVal val="0"/>
          <c:showCatName val="0"/>
          <c:showSerName val="0"/>
          <c:showPercent val="0"/>
          <c:showBubbleSize val="0"/>
        </c:dLbls>
        <c:marker val="1"/>
        <c:smooth val="0"/>
        <c:axId val="1769114735"/>
        <c:axId val="1"/>
      </c:lineChart>
      <c:catAx>
        <c:axId val="1769114735"/>
        <c:scaling>
          <c:orientation val="minMax"/>
        </c:scaling>
        <c:delete val="0"/>
        <c:axPos val="b"/>
        <c:title>
          <c:tx>
            <c:rich>
              <a:bodyPr/>
              <a:lstStyle/>
              <a:p>
                <a:pPr>
                  <a:defRPr/>
                </a:pPr>
                <a:r>
                  <a:rPr lang="en-US"/>
                  <a:t>Week</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1"/>
        <c:crosses val="autoZero"/>
        <c:auto val="1"/>
        <c:lblAlgn val="ctr"/>
        <c:lblOffset val="100"/>
        <c:tickLblSkip val="3"/>
        <c:noMultiLvlLbl val="0"/>
      </c:catAx>
      <c:valAx>
        <c:axId val="1"/>
        <c:scaling>
          <c:orientation val="minMax"/>
          <c:min val="100000"/>
        </c:scaling>
        <c:delete val="0"/>
        <c:axPos val="l"/>
        <c:title>
          <c:tx>
            <c:rich>
              <a:bodyPr/>
              <a:lstStyle/>
              <a:p>
                <a:pPr>
                  <a:defRPr/>
                </a:pPr>
                <a:r>
                  <a:rPr lang="en-US"/>
                  <a:t>1,000 head</a:t>
                </a:r>
              </a:p>
            </c:rich>
          </c:tx>
          <c:overlay val="0"/>
          <c:spPr>
            <a:noFill/>
            <a:ln w="25400">
              <a:noFill/>
            </a:ln>
          </c:spPr>
        </c:title>
        <c:numFmt formatCode="#,##0" sourceLinked="0"/>
        <c:majorTickMark val="none"/>
        <c:minorTickMark val="none"/>
        <c:tickLblPos val="nextTo"/>
        <c:spPr>
          <a:ln w="6350">
            <a:noFill/>
          </a:ln>
        </c:spPr>
        <c:txPr>
          <a:bodyPr rot="0" vert="horz"/>
          <a:lstStyle/>
          <a:p>
            <a:pPr>
              <a:defRPr/>
            </a:pPr>
            <a:endParaRPr lang="en-US"/>
          </a:p>
        </c:txPr>
        <c:crossAx val="1769114735"/>
        <c:crosses val="autoZero"/>
        <c:crossBetween val="between"/>
      </c:valAx>
      <c:spPr>
        <a:noFill/>
        <a:ln w="25400">
          <a:noFill/>
        </a:ln>
      </c:spPr>
    </c:plotArea>
    <c:legend>
      <c:legendPos val="b"/>
      <c:layout>
        <c:manualLayout>
          <c:xMode val="edge"/>
          <c:yMode val="edge"/>
          <c:x val="0.25018519333128053"/>
          <c:y val="0.89409669585694318"/>
          <c:w val="0.56561452513966481"/>
          <c:h val="7.8125689896239581E-2"/>
        </c:manualLayout>
      </c:layout>
      <c:overlay val="0"/>
      <c:spPr>
        <a:noFill/>
        <a:ln w="25400">
          <a:noFill/>
        </a:ln>
      </c:spPr>
    </c:legend>
    <c:plotVisOnly val="1"/>
    <c:dispBlanksAs val="gap"/>
    <c:showDLblsOverMax val="0"/>
  </c:chart>
  <c:spPr>
    <a:solidFill>
      <a:schemeClr val="bg1"/>
    </a:solidFill>
    <a:ln w="9525" cap="flat" cmpd="sng" algn="ctr">
      <a:noFill/>
      <a:round/>
    </a:ln>
    <a:effectLst/>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Prices!$D$1548</c:f>
              <c:strCache>
                <c:ptCount val="1"/>
                <c:pt idx="0">
                  <c:v>2020</c:v>
                </c:pt>
              </c:strCache>
            </c:strRef>
          </c:tx>
          <c:marker>
            <c:symbol val="circle"/>
            <c:size val="5"/>
          </c:marker>
          <c:val>
            <c:numRef>
              <c:f>Prices!$B$1467:$B$1518</c:f>
              <c:numCache>
                <c:formatCode>0.00</c:formatCode>
                <c:ptCount val="52"/>
                <c:pt idx="0">
                  <c:v>90.49</c:v>
                </c:pt>
                <c:pt idx="1">
                  <c:v>91.46</c:v>
                </c:pt>
                <c:pt idx="2">
                  <c:v>90.96</c:v>
                </c:pt>
                <c:pt idx="3">
                  <c:v>90.9</c:v>
                </c:pt>
                <c:pt idx="4">
                  <c:v>88.75</c:v>
                </c:pt>
                <c:pt idx="5">
                  <c:v>85.82</c:v>
                </c:pt>
                <c:pt idx="6">
                  <c:v>81.62</c:v>
                </c:pt>
                <c:pt idx="7">
                  <c:v>78.39</c:v>
                </c:pt>
                <c:pt idx="8">
                  <c:v>76.709999999999994</c:v>
                </c:pt>
                <c:pt idx="9">
                  <c:v>76.58</c:v>
                </c:pt>
                <c:pt idx="10">
                  <c:v>80.33</c:v>
                </c:pt>
                <c:pt idx="11">
                  <c:v>87.51</c:v>
                </c:pt>
                <c:pt idx="12" formatCode="General">
                  <c:v>83.68</c:v>
                </c:pt>
                <c:pt idx="13">
                  <c:v>66.61</c:v>
                </c:pt>
                <c:pt idx="14">
                  <c:v>50.51</c:v>
                </c:pt>
                <c:pt idx="15">
                  <c:v>50</c:v>
                </c:pt>
                <c:pt idx="16">
                  <c:v>52.7</c:v>
                </c:pt>
                <c:pt idx="17">
                  <c:v>60.63</c:v>
                </c:pt>
                <c:pt idx="18">
                  <c:v>68.42</c:v>
                </c:pt>
                <c:pt idx="19">
                  <c:v>77.45</c:v>
                </c:pt>
                <c:pt idx="20" formatCode="General">
                  <c:v>74.45</c:v>
                </c:pt>
                <c:pt idx="21">
                  <c:v>74</c:v>
                </c:pt>
                <c:pt idx="22">
                  <c:v>74.62</c:v>
                </c:pt>
                <c:pt idx="23">
                  <c:v>73.150000000000006</c:v>
                </c:pt>
                <c:pt idx="24">
                  <c:v>72.38</c:v>
                </c:pt>
                <c:pt idx="25">
                  <c:v>74.239999999999995</c:v>
                </c:pt>
                <c:pt idx="26">
                  <c:v>74.97</c:v>
                </c:pt>
                <c:pt idx="27">
                  <c:v>75.34</c:v>
                </c:pt>
                <c:pt idx="28">
                  <c:v>71.25</c:v>
                </c:pt>
                <c:pt idx="29" formatCode="General">
                  <c:v>66.099999999999994</c:v>
                </c:pt>
              </c:numCache>
            </c:numRef>
          </c:val>
          <c:smooth val="0"/>
          <c:extLst>
            <c:ext xmlns:c16="http://schemas.microsoft.com/office/drawing/2014/chart" uri="{C3380CC4-5D6E-409C-BE32-E72D297353CC}">
              <c16:uniqueId val="{00000000-C18E-4874-958F-7B21662B4891}"/>
            </c:ext>
          </c:extLst>
        </c:ser>
        <c:ser>
          <c:idx val="3"/>
          <c:order val="1"/>
          <c:tx>
            <c:strRef>
              <c:f>Prices!$D$1547</c:f>
              <c:strCache>
                <c:ptCount val="1"/>
                <c:pt idx="0">
                  <c:v>2019</c:v>
                </c:pt>
              </c:strCache>
            </c:strRef>
          </c:tx>
          <c:spPr>
            <a:ln>
              <a:solidFill>
                <a:schemeClr val="accent2"/>
              </a:solidFill>
            </a:ln>
          </c:spPr>
          <c:marker>
            <c:symbol val="circle"/>
            <c:size val="5"/>
            <c:spPr>
              <a:solidFill>
                <a:schemeClr val="accent2"/>
              </a:solidFill>
              <a:ln>
                <a:solidFill>
                  <a:schemeClr val="accent2"/>
                </a:solidFill>
              </a:ln>
            </c:spPr>
          </c:marker>
          <c:val>
            <c:numRef>
              <c:f>Prices!$B$1415:$B$1466</c:f>
              <c:numCache>
                <c:formatCode>_(* #,##0.00_);_(* \(#,##0.00\);_(* "-"??_);_(@_)</c:formatCode>
                <c:ptCount val="52"/>
                <c:pt idx="0">
                  <c:v>104.79</c:v>
                </c:pt>
                <c:pt idx="1">
                  <c:v>103.87</c:v>
                </c:pt>
                <c:pt idx="2">
                  <c:v>99.96</c:v>
                </c:pt>
                <c:pt idx="3">
                  <c:v>94.22</c:v>
                </c:pt>
                <c:pt idx="4">
                  <c:v>92.04</c:v>
                </c:pt>
                <c:pt idx="5">
                  <c:v>91.16</c:v>
                </c:pt>
                <c:pt idx="6">
                  <c:v>90.94</c:v>
                </c:pt>
                <c:pt idx="7">
                  <c:v>89.16</c:v>
                </c:pt>
                <c:pt idx="8">
                  <c:v>87.96</c:v>
                </c:pt>
                <c:pt idx="9">
                  <c:v>89.35</c:v>
                </c:pt>
                <c:pt idx="10">
                  <c:v>92</c:v>
                </c:pt>
                <c:pt idx="11">
                  <c:v>96.33</c:v>
                </c:pt>
                <c:pt idx="12">
                  <c:v>95.48</c:v>
                </c:pt>
                <c:pt idx="13">
                  <c:v>96.62</c:v>
                </c:pt>
                <c:pt idx="14">
                  <c:v>96.25</c:v>
                </c:pt>
                <c:pt idx="15">
                  <c:v>97.11</c:v>
                </c:pt>
                <c:pt idx="16">
                  <c:v>100.34</c:v>
                </c:pt>
                <c:pt idx="17">
                  <c:v>100.46</c:v>
                </c:pt>
                <c:pt idx="18">
                  <c:v>101.54</c:v>
                </c:pt>
                <c:pt idx="19">
                  <c:v>101.87</c:v>
                </c:pt>
                <c:pt idx="20">
                  <c:v>100.95</c:v>
                </c:pt>
                <c:pt idx="21">
                  <c:v>99.52</c:v>
                </c:pt>
                <c:pt idx="22">
                  <c:v>97.03</c:v>
                </c:pt>
                <c:pt idx="23">
                  <c:v>94.63</c:v>
                </c:pt>
                <c:pt idx="24">
                  <c:v>93.96</c:v>
                </c:pt>
                <c:pt idx="25">
                  <c:v>92.79</c:v>
                </c:pt>
                <c:pt idx="26">
                  <c:v>93.75</c:v>
                </c:pt>
                <c:pt idx="27">
                  <c:v>92.81</c:v>
                </c:pt>
                <c:pt idx="28">
                  <c:v>86.11</c:v>
                </c:pt>
                <c:pt idx="29">
                  <c:v>86.21</c:v>
                </c:pt>
                <c:pt idx="30" formatCode="0.00">
                  <c:v>82.97</c:v>
                </c:pt>
                <c:pt idx="31" formatCode="0.00">
                  <c:v>83.24</c:v>
                </c:pt>
                <c:pt idx="32" formatCode="0.00">
                  <c:v>82.55</c:v>
                </c:pt>
                <c:pt idx="33" formatCode="0.00">
                  <c:v>79.31</c:v>
                </c:pt>
                <c:pt idx="34" formatCode="0.00">
                  <c:v>76.290000000000006</c:v>
                </c:pt>
                <c:pt idx="35" formatCode="0.00">
                  <c:v>76.08</c:v>
                </c:pt>
                <c:pt idx="36" formatCode="0.00">
                  <c:v>76.19</c:v>
                </c:pt>
                <c:pt idx="37" formatCode="0.00">
                  <c:v>76.91</c:v>
                </c:pt>
                <c:pt idx="38" formatCode="0.00">
                  <c:v>78.48</c:v>
                </c:pt>
                <c:pt idx="39" formatCode="0.00">
                  <c:v>79.61</c:v>
                </c:pt>
                <c:pt idx="40" formatCode="0.00">
                  <c:v>78.709999999999994</c:v>
                </c:pt>
                <c:pt idx="41" formatCode="0.00">
                  <c:v>78.489999999999995</c:v>
                </c:pt>
                <c:pt idx="42" formatCode="0.00">
                  <c:v>78.31</c:v>
                </c:pt>
                <c:pt idx="43" formatCode="0.00">
                  <c:v>78.92</c:v>
                </c:pt>
                <c:pt idx="44" formatCode="0.00">
                  <c:v>78.5</c:v>
                </c:pt>
                <c:pt idx="45" formatCode="0.00">
                  <c:v>78.31</c:v>
                </c:pt>
                <c:pt idx="46" formatCode="0.00">
                  <c:v>77</c:v>
                </c:pt>
                <c:pt idx="47" formatCode="0.00">
                  <c:v>79.5</c:v>
                </c:pt>
                <c:pt idx="48" formatCode="0.00">
                  <c:v>82.59</c:v>
                </c:pt>
                <c:pt idx="49" formatCode="0.00">
                  <c:v>84.89</c:v>
                </c:pt>
                <c:pt idx="50" formatCode="0.00">
                  <c:v>85.54</c:v>
                </c:pt>
                <c:pt idx="51" formatCode="0.00">
                  <c:v>85.5</c:v>
                </c:pt>
              </c:numCache>
            </c:numRef>
          </c:val>
          <c:smooth val="0"/>
          <c:extLst>
            <c:ext xmlns:c16="http://schemas.microsoft.com/office/drawing/2014/chart" uri="{C3380CC4-5D6E-409C-BE32-E72D297353CC}">
              <c16:uniqueId val="{00000001-C18E-4874-958F-7B21662B4891}"/>
            </c:ext>
          </c:extLst>
        </c:ser>
        <c:ser>
          <c:idx val="2"/>
          <c:order val="2"/>
          <c:tx>
            <c:strRef>
              <c:f>Prices!$BI$1311</c:f>
              <c:strCache>
                <c:ptCount val="1"/>
                <c:pt idx="0">
                  <c:v>Avg. 2016-18</c:v>
                </c:pt>
              </c:strCache>
            </c:strRef>
          </c:tx>
          <c:marker>
            <c:symbol val="circle"/>
            <c:size val="5"/>
          </c:marker>
          <c:val>
            <c:numRef>
              <c:f>Prices!$BK$1311:$BK$1362</c:f>
              <c:numCache>
                <c:formatCode>0.00</c:formatCode>
                <c:ptCount val="52"/>
                <c:pt idx="0">
                  <c:v>90.05</c:v>
                </c:pt>
                <c:pt idx="1">
                  <c:v>90.75</c:v>
                </c:pt>
                <c:pt idx="2">
                  <c:v>89.13</c:v>
                </c:pt>
                <c:pt idx="3">
                  <c:v>87.476666666666645</c:v>
                </c:pt>
                <c:pt idx="4">
                  <c:v>85.350000000000009</c:v>
                </c:pt>
                <c:pt idx="5">
                  <c:v>85.75333333333333</c:v>
                </c:pt>
                <c:pt idx="6">
                  <c:v>86.226666666666674</c:v>
                </c:pt>
                <c:pt idx="7">
                  <c:v>86.053333333333342</c:v>
                </c:pt>
                <c:pt idx="8">
                  <c:v>86.023333333333355</c:v>
                </c:pt>
                <c:pt idx="9">
                  <c:v>89.876666666666665</c:v>
                </c:pt>
                <c:pt idx="10">
                  <c:v>94.076666666666668</c:v>
                </c:pt>
                <c:pt idx="11">
                  <c:v>97.296666666666667</c:v>
                </c:pt>
                <c:pt idx="12">
                  <c:v>97.743333333333339</c:v>
                </c:pt>
                <c:pt idx="13">
                  <c:v>97.823333333333323</c:v>
                </c:pt>
                <c:pt idx="14">
                  <c:v>97.733333333333334</c:v>
                </c:pt>
                <c:pt idx="15">
                  <c:v>98.126666666666665</c:v>
                </c:pt>
                <c:pt idx="16">
                  <c:v>98.356666666666669</c:v>
                </c:pt>
                <c:pt idx="17">
                  <c:v>100.91000000000001</c:v>
                </c:pt>
                <c:pt idx="18">
                  <c:v>103.87333333333333</c:v>
                </c:pt>
                <c:pt idx="19">
                  <c:v>107.61666666666667</c:v>
                </c:pt>
                <c:pt idx="20">
                  <c:v>110.56</c:v>
                </c:pt>
                <c:pt idx="21">
                  <c:v>111.61666666666667</c:v>
                </c:pt>
                <c:pt idx="22">
                  <c:v>110.92666666666668</c:v>
                </c:pt>
                <c:pt idx="23">
                  <c:v>108.46</c:v>
                </c:pt>
                <c:pt idx="24">
                  <c:v>106.94</c:v>
                </c:pt>
                <c:pt idx="25">
                  <c:v>106.2</c:v>
                </c:pt>
                <c:pt idx="26">
                  <c:v>105.60666666666667</c:v>
                </c:pt>
                <c:pt idx="27">
                  <c:v>103.46666666666668</c:v>
                </c:pt>
                <c:pt idx="28">
                  <c:v>99.79</c:v>
                </c:pt>
                <c:pt idx="29">
                  <c:v>94.77</c:v>
                </c:pt>
                <c:pt idx="30">
                  <c:v>90.726666666666674</c:v>
                </c:pt>
                <c:pt idx="31">
                  <c:v>87.93</c:v>
                </c:pt>
                <c:pt idx="32">
                  <c:v>86.236666666666665</c:v>
                </c:pt>
                <c:pt idx="33">
                  <c:v>84.56</c:v>
                </c:pt>
                <c:pt idx="34">
                  <c:v>83.71</c:v>
                </c:pt>
                <c:pt idx="35">
                  <c:v>84.443333333333328</c:v>
                </c:pt>
                <c:pt idx="36">
                  <c:v>83.61999999999999</c:v>
                </c:pt>
                <c:pt idx="37">
                  <c:v>83.14</c:v>
                </c:pt>
                <c:pt idx="38">
                  <c:v>80.343333333333348</c:v>
                </c:pt>
                <c:pt idx="39">
                  <c:v>79.006666666666675</c:v>
                </c:pt>
                <c:pt idx="40">
                  <c:v>79.339999999999989</c:v>
                </c:pt>
                <c:pt idx="41">
                  <c:v>79.84333333333332</c:v>
                </c:pt>
                <c:pt idx="42">
                  <c:v>80.323333333333338</c:v>
                </c:pt>
                <c:pt idx="43">
                  <c:v>81.433333333333323</c:v>
                </c:pt>
                <c:pt idx="44">
                  <c:v>83.313333333333333</c:v>
                </c:pt>
                <c:pt idx="45">
                  <c:v>84.43</c:v>
                </c:pt>
                <c:pt idx="46">
                  <c:v>84.94</c:v>
                </c:pt>
                <c:pt idx="47">
                  <c:v>85.71</c:v>
                </c:pt>
                <c:pt idx="48">
                  <c:v>85.58</c:v>
                </c:pt>
                <c:pt idx="49">
                  <c:v>85.146666666666675</c:v>
                </c:pt>
                <c:pt idx="50">
                  <c:v>87.360000000000014</c:v>
                </c:pt>
                <c:pt idx="51">
                  <c:v>90.466666666666654</c:v>
                </c:pt>
              </c:numCache>
            </c:numRef>
          </c:val>
          <c:smooth val="0"/>
          <c:extLst>
            <c:ext xmlns:c16="http://schemas.microsoft.com/office/drawing/2014/chart" uri="{C3380CC4-5D6E-409C-BE32-E72D297353CC}">
              <c16:uniqueId val="{00000002-C18E-4874-958F-7B21662B4891}"/>
            </c:ext>
          </c:extLst>
        </c:ser>
        <c:dLbls>
          <c:showLegendKey val="0"/>
          <c:showVal val="0"/>
          <c:showCatName val="0"/>
          <c:showSerName val="0"/>
          <c:showPercent val="0"/>
          <c:showBubbleSize val="0"/>
        </c:dLbls>
        <c:marker val="1"/>
        <c:smooth val="0"/>
        <c:axId val="469988896"/>
        <c:axId val="469989456"/>
      </c:lineChart>
      <c:catAx>
        <c:axId val="469988896"/>
        <c:scaling>
          <c:orientation val="minMax"/>
        </c:scaling>
        <c:delete val="0"/>
        <c:axPos val="b"/>
        <c:title>
          <c:tx>
            <c:rich>
              <a:bodyPr/>
              <a:lstStyle/>
              <a:p>
                <a:pPr>
                  <a:defRPr sz="1200" b="1" i="0" u="none" strike="noStrike" baseline="0">
                    <a:solidFill>
                      <a:srgbClr val="000000"/>
                    </a:solidFill>
                    <a:latin typeface="Calibri"/>
                    <a:ea typeface="Calibri"/>
                    <a:cs typeface="Calibri"/>
                  </a:defRPr>
                </a:pPr>
                <a:r>
                  <a:rPr lang="en-US"/>
                  <a:t>Week</a:t>
                </a:r>
              </a:p>
            </c:rich>
          </c:tx>
          <c:overlay val="0"/>
        </c:title>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469989456"/>
        <c:crosses val="autoZero"/>
        <c:auto val="1"/>
        <c:lblAlgn val="ctr"/>
        <c:lblOffset val="100"/>
        <c:tickLblSkip val="3"/>
        <c:noMultiLvlLbl val="0"/>
      </c:catAx>
      <c:valAx>
        <c:axId val="469989456"/>
        <c:scaling>
          <c:orientation val="minMax"/>
          <c:min val="40"/>
        </c:scaling>
        <c:delete val="0"/>
        <c:axPos val="l"/>
        <c:title>
          <c:tx>
            <c:rich>
              <a:bodyPr/>
              <a:lstStyle/>
              <a:p>
                <a:pPr>
                  <a:defRPr sz="1200" b="1" i="0" u="none" strike="noStrike" baseline="0">
                    <a:solidFill>
                      <a:srgbClr val="000000"/>
                    </a:solidFill>
                    <a:latin typeface="Calibri"/>
                    <a:ea typeface="Calibri"/>
                    <a:cs typeface="Calibri"/>
                  </a:defRPr>
                </a:pPr>
                <a:r>
                  <a:rPr lang="en-US"/>
                  <a:t>cents / lb</a:t>
                </a:r>
              </a:p>
            </c:rich>
          </c:tx>
          <c:overlay val="0"/>
        </c:title>
        <c:numFmt formatCode="0"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469988896"/>
        <c:crosses val="autoZero"/>
        <c:crossBetween val="between"/>
      </c:valAx>
    </c:plotArea>
    <c:legend>
      <c:legendPos val="b"/>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4E90-8F96-6D43-B86D-8C395350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Microsoft Office User</cp:lastModifiedBy>
  <cp:revision>2</cp:revision>
  <dcterms:created xsi:type="dcterms:W3CDTF">2020-07-25T20:11:00Z</dcterms:created>
  <dcterms:modified xsi:type="dcterms:W3CDTF">2020-07-25T20:11:00Z</dcterms:modified>
</cp:coreProperties>
</file>