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E2D30" w14:textId="34173A92" w:rsidR="00086A14" w:rsidRDefault="00086A14" w:rsidP="000051D8">
      <w:pPr>
        <w:shd w:val="clear" w:color="auto" w:fill="FFFFFF"/>
        <w:spacing w:after="0" w:line="240" w:lineRule="auto"/>
        <w:jc w:val="center"/>
        <w:rPr>
          <w:rFonts w:ascii="Cambria" w:eastAsia="Times New Roman" w:hAnsi="Cambria" w:cs="Times New Roman"/>
          <w:b/>
          <w:sz w:val="28"/>
          <w:szCs w:val="28"/>
        </w:rPr>
      </w:pPr>
      <w:r w:rsidRPr="003F125D">
        <w:rPr>
          <w:rFonts w:ascii="Arial" w:hAnsi="Arial" w:cs="Arial"/>
          <w:noProof/>
        </w:rPr>
        <w:drawing>
          <wp:anchor distT="0" distB="0" distL="114300" distR="114300" simplePos="0" relativeHeight="251667456" behindDoc="0" locked="0" layoutInCell="1" allowOverlap="1" wp14:anchorId="7A2EB592" wp14:editId="6132E4C0">
            <wp:simplePos x="0" y="0"/>
            <wp:positionH relativeFrom="column">
              <wp:posOffset>1704442</wp:posOffset>
            </wp:positionH>
            <wp:positionV relativeFrom="paragraph">
              <wp:posOffset>-160935</wp:posOffset>
            </wp:positionV>
            <wp:extent cx="2364377" cy="423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8"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289EE0" w14:textId="77777777" w:rsidR="00086A14" w:rsidRDefault="00086A14" w:rsidP="000051D8">
      <w:pPr>
        <w:shd w:val="clear" w:color="auto" w:fill="FFFFFF"/>
        <w:spacing w:after="0" w:line="240" w:lineRule="auto"/>
        <w:jc w:val="center"/>
        <w:rPr>
          <w:rFonts w:ascii="Cambria" w:eastAsia="Times New Roman" w:hAnsi="Cambria" w:cs="Times New Roman"/>
          <w:b/>
          <w:sz w:val="28"/>
          <w:szCs w:val="28"/>
        </w:rPr>
      </w:pPr>
    </w:p>
    <w:p w14:paraId="27BD672A" w14:textId="77777777" w:rsidR="00086A14" w:rsidRDefault="00086A14" w:rsidP="000051D8">
      <w:pPr>
        <w:shd w:val="clear" w:color="auto" w:fill="FFFFFF"/>
        <w:spacing w:after="0" w:line="240" w:lineRule="auto"/>
        <w:jc w:val="center"/>
        <w:rPr>
          <w:rFonts w:ascii="Cambria" w:eastAsia="Times New Roman" w:hAnsi="Cambria" w:cs="Times New Roman"/>
          <w:b/>
          <w:sz w:val="28"/>
          <w:szCs w:val="28"/>
        </w:rPr>
      </w:pPr>
    </w:p>
    <w:p w14:paraId="28BCF258" w14:textId="77777777" w:rsidR="00086A14" w:rsidRDefault="00086A14" w:rsidP="000051D8">
      <w:pPr>
        <w:shd w:val="clear" w:color="auto" w:fill="FFFFFF"/>
        <w:spacing w:after="0" w:line="240" w:lineRule="auto"/>
        <w:jc w:val="center"/>
        <w:rPr>
          <w:rFonts w:ascii="Cambria" w:eastAsia="Times New Roman" w:hAnsi="Cambria" w:cs="Times New Roman"/>
          <w:b/>
          <w:sz w:val="28"/>
          <w:szCs w:val="28"/>
        </w:rPr>
      </w:pPr>
    </w:p>
    <w:p w14:paraId="57AAF883" w14:textId="77777777" w:rsidR="00086A14" w:rsidRDefault="00086A14" w:rsidP="000051D8">
      <w:pPr>
        <w:shd w:val="clear" w:color="auto" w:fill="FFFFFF"/>
        <w:spacing w:after="0" w:line="240" w:lineRule="auto"/>
        <w:jc w:val="center"/>
        <w:rPr>
          <w:rFonts w:ascii="Cambria" w:eastAsia="Times New Roman" w:hAnsi="Cambria" w:cs="Times New Roman"/>
          <w:b/>
          <w:sz w:val="28"/>
          <w:szCs w:val="28"/>
        </w:rPr>
      </w:pPr>
    </w:p>
    <w:p w14:paraId="25DDA578" w14:textId="73A9E45F" w:rsidR="000051D8" w:rsidRPr="00086A14" w:rsidRDefault="000051D8" w:rsidP="000051D8">
      <w:pPr>
        <w:shd w:val="clear" w:color="auto" w:fill="FFFFFF"/>
        <w:spacing w:after="0" w:line="240" w:lineRule="auto"/>
        <w:jc w:val="center"/>
        <w:rPr>
          <w:rFonts w:ascii="Cambria" w:eastAsia="Times New Roman" w:hAnsi="Cambria" w:cs="Times New Roman"/>
          <w:b/>
          <w:sz w:val="28"/>
          <w:szCs w:val="28"/>
        </w:rPr>
      </w:pPr>
      <w:r w:rsidRPr="00086A14">
        <w:rPr>
          <w:rFonts w:ascii="Cambria" w:eastAsia="Times New Roman" w:hAnsi="Cambria" w:cs="Times New Roman"/>
          <w:b/>
          <w:sz w:val="28"/>
          <w:szCs w:val="28"/>
        </w:rPr>
        <w:t>COVID-19 Impacts on Arkansas’ Agricultural and Rural Economies</w:t>
      </w:r>
    </w:p>
    <w:p w14:paraId="4321B772" w14:textId="77777777" w:rsidR="000051D8" w:rsidRPr="00086A14" w:rsidRDefault="000051D8" w:rsidP="000051D8">
      <w:pPr>
        <w:shd w:val="clear" w:color="auto" w:fill="FFFFFF"/>
        <w:spacing w:after="0" w:line="240" w:lineRule="auto"/>
        <w:jc w:val="center"/>
        <w:rPr>
          <w:rFonts w:ascii="Cambria" w:eastAsia="Times New Roman" w:hAnsi="Cambria" w:cs="Times New Roman"/>
          <w:b/>
        </w:rPr>
      </w:pPr>
    </w:p>
    <w:p w14:paraId="7F877BDC" w14:textId="77777777" w:rsidR="000051D8" w:rsidRPr="00086A14" w:rsidRDefault="000051D8" w:rsidP="000051D8">
      <w:pPr>
        <w:shd w:val="clear" w:color="auto" w:fill="FFFFFF"/>
        <w:spacing w:after="0" w:line="240" w:lineRule="auto"/>
        <w:jc w:val="center"/>
        <w:rPr>
          <w:rFonts w:ascii="Cambria" w:eastAsia="Times New Roman" w:hAnsi="Cambria" w:cs="Times New Roman"/>
          <w:b/>
        </w:rPr>
      </w:pPr>
    </w:p>
    <w:p w14:paraId="0BA792E6" w14:textId="77777777" w:rsidR="000051D8" w:rsidRPr="00086A14" w:rsidRDefault="000051D8" w:rsidP="000051D8">
      <w:pPr>
        <w:shd w:val="clear" w:color="auto" w:fill="FFFFFF"/>
        <w:spacing w:after="0" w:line="240" w:lineRule="auto"/>
        <w:jc w:val="center"/>
        <w:rPr>
          <w:rFonts w:ascii="Cambria" w:eastAsia="Times New Roman" w:hAnsi="Cambria" w:cs="Times New Roman"/>
          <w:b/>
          <w:sz w:val="48"/>
          <w:szCs w:val="48"/>
        </w:rPr>
      </w:pPr>
      <w:r w:rsidRPr="00086A14">
        <w:rPr>
          <w:rFonts w:ascii="Cambria" w:eastAsia="Times New Roman" w:hAnsi="Cambria" w:cs="Times New Roman"/>
          <w:b/>
          <w:sz w:val="48"/>
          <w:szCs w:val="48"/>
        </w:rPr>
        <w:t xml:space="preserve">UPDATE: </w:t>
      </w:r>
    </w:p>
    <w:p w14:paraId="36BB2B4A" w14:textId="77777777" w:rsidR="000051D8" w:rsidRPr="00086A14" w:rsidRDefault="00451199" w:rsidP="000051D8">
      <w:pPr>
        <w:shd w:val="clear" w:color="auto" w:fill="FFFFFF"/>
        <w:spacing w:after="0" w:line="240" w:lineRule="auto"/>
        <w:jc w:val="center"/>
        <w:rPr>
          <w:rFonts w:ascii="Cambria" w:eastAsia="Times New Roman" w:hAnsi="Cambria" w:cs="Times New Roman"/>
          <w:b/>
          <w:sz w:val="48"/>
          <w:szCs w:val="48"/>
        </w:rPr>
      </w:pPr>
      <w:r w:rsidRPr="00086A14">
        <w:rPr>
          <w:rFonts w:ascii="Cambria" w:eastAsia="Times New Roman" w:hAnsi="Cambria" w:cs="Times New Roman"/>
          <w:b/>
          <w:i/>
          <w:sz w:val="48"/>
          <w:szCs w:val="48"/>
        </w:rPr>
        <w:t>Cattle on Feed</w:t>
      </w:r>
      <w:r w:rsidRPr="00086A14">
        <w:rPr>
          <w:rFonts w:ascii="Cambria" w:eastAsia="Times New Roman" w:hAnsi="Cambria" w:cs="Times New Roman"/>
          <w:b/>
          <w:sz w:val="48"/>
          <w:szCs w:val="48"/>
        </w:rPr>
        <w:t xml:space="preserve"> Update</w:t>
      </w:r>
    </w:p>
    <w:p w14:paraId="45789664" w14:textId="77777777" w:rsidR="000051D8" w:rsidRPr="00086A14" w:rsidRDefault="000051D8" w:rsidP="000051D8">
      <w:pPr>
        <w:shd w:val="clear" w:color="auto" w:fill="FFFFFF"/>
        <w:spacing w:after="0" w:line="240" w:lineRule="auto"/>
        <w:rPr>
          <w:rFonts w:ascii="Cambria" w:eastAsia="Times New Roman" w:hAnsi="Cambria" w:cs="Times New Roman"/>
          <w:b/>
        </w:rPr>
      </w:pPr>
    </w:p>
    <w:p w14:paraId="3E2E525F" w14:textId="77777777" w:rsidR="000051D8" w:rsidRPr="00086A14" w:rsidRDefault="000051D8" w:rsidP="000051D8">
      <w:pPr>
        <w:shd w:val="clear" w:color="auto" w:fill="FFFFFF"/>
        <w:spacing w:after="0" w:line="240" w:lineRule="auto"/>
        <w:rPr>
          <w:rFonts w:ascii="Cambria" w:eastAsia="Times New Roman" w:hAnsi="Cambria" w:cs="Times New Roman"/>
          <w:b/>
        </w:rPr>
      </w:pPr>
    </w:p>
    <w:p w14:paraId="121ACA66" w14:textId="77777777" w:rsidR="000051D8" w:rsidRPr="00086A14" w:rsidRDefault="000051D8" w:rsidP="000051D8">
      <w:pPr>
        <w:shd w:val="clear" w:color="auto" w:fill="FFFFFF"/>
        <w:spacing w:after="0" w:line="240" w:lineRule="auto"/>
        <w:jc w:val="center"/>
        <w:rPr>
          <w:rFonts w:ascii="Cambria" w:eastAsia="Times New Roman" w:hAnsi="Cambria" w:cs="Times New Roman"/>
          <w:b/>
        </w:rPr>
      </w:pPr>
      <w:r w:rsidRPr="00086A14">
        <w:rPr>
          <w:rFonts w:ascii="Cambria" w:eastAsia="Times New Roman" w:hAnsi="Cambria" w:cs="Times New Roman"/>
          <w:b/>
        </w:rPr>
        <w:t>Prepared by:</w:t>
      </w:r>
    </w:p>
    <w:p w14:paraId="28D37443" w14:textId="77777777" w:rsidR="000051D8" w:rsidRPr="00086A14" w:rsidRDefault="000051D8" w:rsidP="000051D8">
      <w:pPr>
        <w:shd w:val="clear" w:color="auto" w:fill="FFFFFF"/>
        <w:spacing w:after="0" w:line="240" w:lineRule="auto"/>
        <w:jc w:val="center"/>
        <w:rPr>
          <w:rFonts w:ascii="Cambria" w:eastAsia="Times New Roman" w:hAnsi="Cambria" w:cs="Times New Roman"/>
          <w:b/>
        </w:rPr>
      </w:pPr>
    </w:p>
    <w:p w14:paraId="531FF393" w14:textId="77777777" w:rsidR="000051D8" w:rsidRPr="00086A14" w:rsidRDefault="000051D8" w:rsidP="000051D8">
      <w:pPr>
        <w:shd w:val="clear" w:color="auto" w:fill="FFFFFF"/>
        <w:spacing w:after="0" w:line="240" w:lineRule="auto"/>
        <w:jc w:val="center"/>
        <w:rPr>
          <w:rFonts w:ascii="Cambria" w:eastAsia="Times New Roman" w:hAnsi="Cambria" w:cs="Times New Roman"/>
          <w:b/>
        </w:rPr>
      </w:pPr>
    </w:p>
    <w:p w14:paraId="0BD021F3" w14:textId="77777777" w:rsidR="000051D8" w:rsidRPr="00086A14" w:rsidRDefault="000051D8" w:rsidP="000051D8">
      <w:pPr>
        <w:shd w:val="clear" w:color="auto" w:fill="FFFFFF"/>
        <w:spacing w:after="0" w:line="240" w:lineRule="auto"/>
        <w:jc w:val="center"/>
        <w:rPr>
          <w:rFonts w:ascii="Cambria" w:eastAsia="Times New Roman" w:hAnsi="Cambria" w:cs="Times New Roman"/>
          <w:b/>
        </w:rPr>
      </w:pPr>
      <w:r w:rsidRPr="00086A14">
        <w:rPr>
          <w:rFonts w:ascii="Cambria" w:eastAsia="Times New Roman" w:hAnsi="Cambria" w:cs="Times New Roman"/>
          <w:b/>
        </w:rPr>
        <w:t>John Anderson</w:t>
      </w:r>
    </w:p>
    <w:p w14:paraId="4AB32F0F" w14:textId="77777777" w:rsidR="000051D8" w:rsidRPr="00086A14" w:rsidRDefault="000051D8" w:rsidP="000051D8">
      <w:pPr>
        <w:shd w:val="clear" w:color="auto" w:fill="FFFFFF"/>
        <w:spacing w:after="0" w:line="240" w:lineRule="auto"/>
        <w:jc w:val="center"/>
        <w:rPr>
          <w:rFonts w:ascii="Cambria" w:eastAsia="Times New Roman" w:hAnsi="Cambria" w:cs="Times New Roman"/>
          <w:b/>
        </w:rPr>
      </w:pPr>
      <w:r w:rsidRPr="00086A14">
        <w:rPr>
          <w:rFonts w:ascii="Cambria" w:eastAsia="Times New Roman" w:hAnsi="Cambria" w:cs="Times New Roman"/>
          <w:b/>
        </w:rPr>
        <w:t xml:space="preserve">Department of Agricultural Economics and Agribusiness </w:t>
      </w:r>
    </w:p>
    <w:p w14:paraId="57212CBD" w14:textId="77777777" w:rsidR="000051D8" w:rsidRPr="00086A14" w:rsidRDefault="000051D8" w:rsidP="000051D8">
      <w:pPr>
        <w:shd w:val="clear" w:color="auto" w:fill="FFFFFF"/>
        <w:spacing w:after="0" w:line="240" w:lineRule="auto"/>
        <w:jc w:val="center"/>
        <w:rPr>
          <w:rFonts w:ascii="Cambria" w:eastAsia="Times New Roman" w:hAnsi="Cambria" w:cs="Times New Roman"/>
          <w:b/>
        </w:rPr>
      </w:pPr>
    </w:p>
    <w:p w14:paraId="2EBE23C8" w14:textId="77777777" w:rsidR="000051D8" w:rsidRPr="00086A14" w:rsidRDefault="000051D8" w:rsidP="000051D8">
      <w:pPr>
        <w:shd w:val="clear" w:color="auto" w:fill="FFFFFF"/>
        <w:spacing w:after="0" w:line="240" w:lineRule="auto"/>
        <w:jc w:val="center"/>
        <w:rPr>
          <w:rFonts w:ascii="Cambria" w:eastAsia="Times New Roman" w:hAnsi="Cambria" w:cs="Times New Roman"/>
          <w:b/>
        </w:rPr>
      </w:pPr>
    </w:p>
    <w:p w14:paraId="4F6F7052" w14:textId="77777777" w:rsidR="000051D8" w:rsidRPr="00086A14" w:rsidRDefault="000051D8" w:rsidP="000051D8">
      <w:pPr>
        <w:shd w:val="clear" w:color="auto" w:fill="FFFFFF"/>
        <w:spacing w:after="0" w:line="240" w:lineRule="auto"/>
        <w:jc w:val="center"/>
        <w:rPr>
          <w:rFonts w:ascii="Cambria" w:eastAsia="Times New Roman" w:hAnsi="Cambria" w:cs="Times New Roman"/>
          <w:b/>
        </w:rPr>
      </w:pPr>
    </w:p>
    <w:p w14:paraId="0134CA44" w14:textId="77777777" w:rsidR="000051D8" w:rsidRPr="00086A14" w:rsidRDefault="006B58A3" w:rsidP="000051D8">
      <w:pPr>
        <w:shd w:val="clear" w:color="auto" w:fill="FFFFFF"/>
        <w:spacing w:after="0" w:line="240" w:lineRule="auto"/>
        <w:jc w:val="center"/>
        <w:rPr>
          <w:rFonts w:ascii="Cambria" w:eastAsia="Times New Roman" w:hAnsi="Cambria" w:cs="Times New Roman"/>
          <w:b/>
        </w:rPr>
      </w:pPr>
      <w:r w:rsidRPr="00086A14">
        <w:rPr>
          <w:rFonts w:ascii="Cambria" w:eastAsia="Times New Roman" w:hAnsi="Cambria" w:cs="Times New Roman"/>
          <w:b/>
        </w:rPr>
        <w:t xml:space="preserve">July </w:t>
      </w:r>
      <w:r w:rsidR="005B11ED" w:rsidRPr="00086A14">
        <w:rPr>
          <w:rFonts w:ascii="Cambria" w:eastAsia="Times New Roman" w:hAnsi="Cambria" w:cs="Times New Roman"/>
          <w:b/>
        </w:rPr>
        <w:t>2</w:t>
      </w:r>
      <w:r w:rsidRPr="00086A14">
        <w:rPr>
          <w:rFonts w:ascii="Cambria" w:eastAsia="Times New Roman" w:hAnsi="Cambria" w:cs="Times New Roman"/>
          <w:b/>
        </w:rPr>
        <w:t>4</w:t>
      </w:r>
      <w:r w:rsidR="000051D8" w:rsidRPr="00086A14">
        <w:rPr>
          <w:rFonts w:ascii="Cambria" w:eastAsia="Times New Roman" w:hAnsi="Cambria" w:cs="Times New Roman"/>
          <w:b/>
        </w:rPr>
        <w:t>, 2020</w:t>
      </w:r>
    </w:p>
    <w:p w14:paraId="61404953" w14:textId="77777777" w:rsidR="000051D8" w:rsidRPr="00086A14" w:rsidRDefault="000051D8" w:rsidP="000051D8">
      <w:pPr>
        <w:shd w:val="clear" w:color="auto" w:fill="FFFFFF"/>
        <w:spacing w:after="0" w:line="240" w:lineRule="auto"/>
        <w:jc w:val="center"/>
        <w:rPr>
          <w:rFonts w:ascii="Cambria" w:eastAsia="Times New Roman" w:hAnsi="Cambria" w:cs="Times New Roman"/>
          <w:b/>
        </w:rPr>
      </w:pPr>
    </w:p>
    <w:p w14:paraId="7A49DEF3" w14:textId="77777777" w:rsidR="005B11ED" w:rsidRPr="00086A14" w:rsidRDefault="000051D8" w:rsidP="000051D8">
      <w:pPr>
        <w:rPr>
          <w:rFonts w:ascii="Cambria" w:hAnsi="Cambria"/>
          <w:b/>
        </w:rPr>
      </w:pPr>
      <w:r w:rsidRPr="00086A14">
        <w:rPr>
          <w:rFonts w:ascii="Cambria" w:hAnsi="Cambria"/>
        </w:rPr>
        <w:br w:type="page"/>
      </w:r>
    </w:p>
    <w:p w14:paraId="7EFB07DC" w14:textId="77777777" w:rsidR="00854084" w:rsidRPr="00086A14" w:rsidRDefault="00A077A1">
      <w:pPr>
        <w:rPr>
          <w:rFonts w:ascii="Cambria" w:hAnsi="Cambria"/>
        </w:rPr>
      </w:pPr>
      <w:r w:rsidRPr="00086A14">
        <w:rPr>
          <w:rFonts w:ascii="Cambria" w:hAnsi="Cambria"/>
        </w:rPr>
        <w:lastRenderedPageBreak/>
        <w:t xml:space="preserve">USDA National Agricultural Statistics Service (NASS) released the latest </w:t>
      </w:r>
      <w:r w:rsidRPr="00086A14">
        <w:rPr>
          <w:rFonts w:ascii="Cambria" w:hAnsi="Cambria"/>
          <w:i/>
        </w:rPr>
        <w:t>Cattle on Feed</w:t>
      </w:r>
      <w:r w:rsidRPr="00086A14">
        <w:rPr>
          <w:rFonts w:ascii="Cambria" w:hAnsi="Cambria"/>
        </w:rPr>
        <w:t xml:space="preserve"> (</w:t>
      </w:r>
      <w:r w:rsidRPr="00086A14">
        <w:rPr>
          <w:rFonts w:ascii="Cambria" w:hAnsi="Cambria"/>
          <w:i/>
        </w:rPr>
        <w:t>COF</w:t>
      </w:r>
      <w:r w:rsidRPr="00086A14">
        <w:rPr>
          <w:rFonts w:ascii="Cambria" w:hAnsi="Cambria"/>
        </w:rPr>
        <w:t xml:space="preserve">) inventory report on Friday afternoon.  </w:t>
      </w:r>
      <w:r w:rsidR="00F62885" w:rsidRPr="00086A14">
        <w:rPr>
          <w:rFonts w:ascii="Cambria" w:hAnsi="Cambria"/>
        </w:rPr>
        <w:t>Key numbers in the report are summarized in table 1.</w:t>
      </w:r>
    </w:p>
    <w:p w14:paraId="7F697F39" w14:textId="77777777" w:rsidR="00F62885" w:rsidRPr="00086A14" w:rsidRDefault="00F62885" w:rsidP="005A3BA7">
      <w:pPr>
        <w:spacing w:after="0"/>
        <w:rPr>
          <w:rFonts w:ascii="Cambria" w:hAnsi="Cambria"/>
        </w:rPr>
      </w:pPr>
      <w:r w:rsidRPr="00086A14">
        <w:rPr>
          <w:rFonts w:ascii="Cambria" w:hAnsi="Cambria"/>
          <w:b/>
        </w:rPr>
        <w:t>Table 1.</w:t>
      </w:r>
      <w:r w:rsidRPr="00086A14">
        <w:rPr>
          <w:rFonts w:ascii="Cambria" w:hAnsi="Cambria"/>
        </w:rPr>
        <w:t xml:space="preserve">  </w:t>
      </w:r>
      <w:r w:rsidRPr="00086A14">
        <w:rPr>
          <w:rFonts w:ascii="Cambria" w:hAnsi="Cambria"/>
          <w:i/>
        </w:rPr>
        <w:t>Cattle on Feed</w:t>
      </w:r>
      <w:r w:rsidRPr="00086A14">
        <w:rPr>
          <w:rFonts w:ascii="Cambria" w:hAnsi="Cambria"/>
        </w:rPr>
        <w:t xml:space="preserve"> Inventory Summary: July Report</w:t>
      </w:r>
    </w:p>
    <w:tbl>
      <w:tblPr>
        <w:tblStyle w:val="TableGrid"/>
        <w:tblW w:w="0" w:type="auto"/>
        <w:tblLook w:val="04A0" w:firstRow="1" w:lastRow="0" w:firstColumn="1" w:lastColumn="0" w:noHBand="0" w:noVBand="1"/>
      </w:tblPr>
      <w:tblGrid>
        <w:gridCol w:w="2564"/>
        <w:gridCol w:w="2262"/>
        <w:gridCol w:w="2262"/>
        <w:gridCol w:w="2262"/>
      </w:tblGrid>
      <w:tr w:rsidR="00F62885" w:rsidRPr="00086A14" w14:paraId="633D6A11" w14:textId="77777777" w:rsidTr="005A3BA7">
        <w:tc>
          <w:tcPr>
            <w:tcW w:w="2564" w:type="dxa"/>
            <w:tcBorders>
              <w:left w:val="nil"/>
              <w:bottom w:val="single" w:sz="4" w:space="0" w:color="auto"/>
              <w:right w:val="nil"/>
            </w:tcBorders>
          </w:tcPr>
          <w:p w14:paraId="0D42BB1A" w14:textId="77777777" w:rsidR="00F62885" w:rsidRPr="00086A14" w:rsidRDefault="00F62885">
            <w:pPr>
              <w:rPr>
                <w:rFonts w:ascii="Cambria" w:hAnsi="Cambria"/>
              </w:rPr>
            </w:pPr>
          </w:p>
        </w:tc>
        <w:tc>
          <w:tcPr>
            <w:tcW w:w="2262" w:type="dxa"/>
            <w:tcBorders>
              <w:left w:val="nil"/>
              <w:bottom w:val="single" w:sz="4" w:space="0" w:color="auto"/>
              <w:right w:val="nil"/>
            </w:tcBorders>
          </w:tcPr>
          <w:p w14:paraId="54107EA1" w14:textId="77777777" w:rsidR="00F62885" w:rsidRPr="00086A14" w:rsidRDefault="005A3BA7" w:rsidP="00F62885">
            <w:pPr>
              <w:jc w:val="center"/>
              <w:rPr>
                <w:rFonts w:ascii="Cambria" w:hAnsi="Cambria"/>
              </w:rPr>
            </w:pPr>
            <w:r w:rsidRPr="00086A14">
              <w:rPr>
                <w:rFonts w:ascii="Cambria" w:hAnsi="Cambria"/>
              </w:rPr>
              <w:t>1,000 head</w:t>
            </w:r>
          </w:p>
        </w:tc>
        <w:tc>
          <w:tcPr>
            <w:tcW w:w="2262" w:type="dxa"/>
            <w:tcBorders>
              <w:left w:val="nil"/>
              <w:bottom w:val="single" w:sz="4" w:space="0" w:color="auto"/>
              <w:right w:val="nil"/>
            </w:tcBorders>
          </w:tcPr>
          <w:p w14:paraId="17D6CA72" w14:textId="77777777" w:rsidR="00F62885" w:rsidRPr="00086A14" w:rsidRDefault="00F62885" w:rsidP="00F62885">
            <w:pPr>
              <w:jc w:val="center"/>
              <w:rPr>
                <w:rFonts w:ascii="Cambria" w:hAnsi="Cambria"/>
              </w:rPr>
            </w:pPr>
            <w:r w:rsidRPr="00086A14">
              <w:rPr>
                <w:rFonts w:ascii="Cambria" w:hAnsi="Cambria"/>
              </w:rPr>
              <w:t>% of 2019</w:t>
            </w:r>
          </w:p>
        </w:tc>
        <w:tc>
          <w:tcPr>
            <w:tcW w:w="2262" w:type="dxa"/>
            <w:tcBorders>
              <w:left w:val="nil"/>
              <w:bottom w:val="single" w:sz="4" w:space="0" w:color="auto"/>
              <w:right w:val="nil"/>
            </w:tcBorders>
          </w:tcPr>
          <w:p w14:paraId="262136BB" w14:textId="77777777" w:rsidR="00F62885" w:rsidRPr="00086A14" w:rsidRDefault="00F62885" w:rsidP="00F62885">
            <w:pPr>
              <w:jc w:val="center"/>
              <w:rPr>
                <w:rFonts w:ascii="Cambria" w:hAnsi="Cambria"/>
              </w:rPr>
            </w:pPr>
            <w:r w:rsidRPr="00086A14">
              <w:rPr>
                <w:rFonts w:ascii="Cambria" w:hAnsi="Cambria"/>
              </w:rPr>
              <w:t>Pre-Report Estimate*</w:t>
            </w:r>
          </w:p>
        </w:tc>
      </w:tr>
      <w:tr w:rsidR="00F62885" w:rsidRPr="00086A14" w14:paraId="472C10EA" w14:textId="77777777" w:rsidTr="005A3BA7">
        <w:tc>
          <w:tcPr>
            <w:tcW w:w="2564" w:type="dxa"/>
            <w:tcBorders>
              <w:left w:val="nil"/>
              <w:bottom w:val="nil"/>
              <w:right w:val="nil"/>
            </w:tcBorders>
          </w:tcPr>
          <w:p w14:paraId="461AE89D" w14:textId="77777777" w:rsidR="00F62885" w:rsidRPr="00086A14" w:rsidRDefault="00F62885">
            <w:pPr>
              <w:rPr>
                <w:rFonts w:ascii="Cambria" w:hAnsi="Cambria"/>
              </w:rPr>
            </w:pPr>
            <w:r w:rsidRPr="00086A14">
              <w:rPr>
                <w:rFonts w:ascii="Cambria" w:hAnsi="Cambria"/>
              </w:rPr>
              <w:t>On Feed June 1</w:t>
            </w:r>
          </w:p>
        </w:tc>
        <w:tc>
          <w:tcPr>
            <w:tcW w:w="2262" w:type="dxa"/>
            <w:tcBorders>
              <w:left w:val="nil"/>
              <w:bottom w:val="nil"/>
              <w:right w:val="nil"/>
            </w:tcBorders>
          </w:tcPr>
          <w:p w14:paraId="115AB218" w14:textId="77777777" w:rsidR="00F62885" w:rsidRPr="00086A14" w:rsidRDefault="00F62885" w:rsidP="005A3BA7">
            <w:pPr>
              <w:jc w:val="center"/>
              <w:rPr>
                <w:rFonts w:ascii="Cambria" w:hAnsi="Cambria"/>
              </w:rPr>
            </w:pPr>
            <w:r w:rsidRPr="00086A14">
              <w:rPr>
                <w:rFonts w:ascii="Cambria" w:hAnsi="Cambria"/>
              </w:rPr>
              <w:t>11,671</w:t>
            </w:r>
          </w:p>
        </w:tc>
        <w:tc>
          <w:tcPr>
            <w:tcW w:w="2262" w:type="dxa"/>
            <w:tcBorders>
              <w:left w:val="nil"/>
              <w:bottom w:val="nil"/>
              <w:right w:val="nil"/>
            </w:tcBorders>
          </w:tcPr>
          <w:p w14:paraId="5F6EFB23" w14:textId="77777777" w:rsidR="00F62885" w:rsidRPr="00086A14" w:rsidRDefault="00F62885" w:rsidP="005A3BA7">
            <w:pPr>
              <w:jc w:val="center"/>
              <w:rPr>
                <w:rFonts w:ascii="Cambria" w:hAnsi="Cambria"/>
              </w:rPr>
            </w:pPr>
          </w:p>
        </w:tc>
        <w:tc>
          <w:tcPr>
            <w:tcW w:w="2262" w:type="dxa"/>
            <w:tcBorders>
              <w:left w:val="nil"/>
              <w:bottom w:val="nil"/>
              <w:right w:val="nil"/>
            </w:tcBorders>
          </w:tcPr>
          <w:p w14:paraId="3FA5654D" w14:textId="77777777" w:rsidR="00F62885" w:rsidRPr="00086A14" w:rsidRDefault="00F62885" w:rsidP="005A3BA7">
            <w:pPr>
              <w:jc w:val="center"/>
              <w:rPr>
                <w:rFonts w:ascii="Cambria" w:hAnsi="Cambria"/>
              </w:rPr>
            </w:pPr>
          </w:p>
        </w:tc>
      </w:tr>
      <w:tr w:rsidR="00F62885" w:rsidRPr="00086A14" w14:paraId="62C90E84" w14:textId="77777777" w:rsidTr="005A3BA7">
        <w:tc>
          <w:tcPr>
            <w:tcW w:w="2564" w:type="dxa"/>
            <w:tcBorders>
              <w:top w:val="nil"/>
              <w:left w:val="nil"/>
              <w:bottom w:val="nil"/>
              <w:right w:val="nil"/>
            </w:tcBorders>
          </w:tcPr>
          <w:p w14:paraId="0091C7F7" w14:textId="77777777" w:rsidR="00F62885" w:rsidRPr="00086A14" w:rsidRDefault="00F62885">
            <w:pPr>
              <w:rPr>
                <w:rFonts w:ascii="Cambria" w:hAnsi="Cambria"/>
              </w:rPr>
            </w:pPr>
            <w:r w:rsidRPr="00086A14">
              <w:rPr>
                <w:rFonts w:ascii="Cambria" w:hAnsi="Cambria"/>
              </w:rPr>
              <w:t>Placements in June</w:t>
            </w:r>
          </w:p>
        </w:tc>
        <w:tc>
          <w:tcPr>
            <w:tcW w:w="2262" w:type="dxa"/>
            <w:tcBorders>
              <w:top w:val="nil"/>
              <w:left w:val="nil"/>
              <w:bottom w:val="nil"/>
              <w:right w:val="nil"/>
            </w:tcBorders>
          </w:tcPr>
          <w:p w14:paraId="73B0F1DE" w14:textId="77777777" w:rsidR="00F62885" w:rsidRPr="00086A14" w:rsidRDefault="00F62885" w:rsidP="005A3BA7">
            <w:pPr>
              <w:jc w:val="center"/>
              <w:rPr>
                <w:rFonts w:ascii="Cambria" w:hAnsi="Cambria"/>
              </w:rPr>
            </w:pPr>
            <w:r w:rsidRPr="00086A14">
              <w:rPr>
                <w:rFonts w:ascii="Cambria" w:hAnsi="Cambria"/>
              </w:rPr>
              <w:t>1,798</w:t>
            </w:r>
          </w:p>
        </w:tc>
        <w:tc>
          <w:tcPr>
            <w:tcW w:w="2262" w:type="dxa"/>
            <w:tcBorders>
              <w:top w:val="nil"/>
              <w:left w:val="nil"/>
              <w:bottom w:val="nil"/>
              <w:right w:val="nil"/>
            </w:tcBorders>
          </w:tcPr>
          <w:p w14:paraId="663BD91E" w14:textId="77777777" w:rsidR="00F62885" w:rsidRPr="00086A14" w:rsidRDefault="005A3BA7" w:rsidP="005A3BA7">
            <w:pPr>
              <w:jc w:val="center"/>
              <w:rPr>
                <w:rFonts w:ascii="Cambria" w:hAnsi="Cambria"/>
              </w:rPr>
            </w:pPr>
            <w:r w:rsidRPr="00086A14">
              <w:rPr>
                <w:rFonts w:ascii="Cambria" w:hAnsi="Cambria"/>
              </w:rPr>
              <w:t>102.</w:t>
            </w:r>
            <w:r w:rsidR="00C9607F" w:rsidRPr="00086A14">
              <w:rPr>
                <w:rFonts w:ascii="Cambria" w:hAnsi="Cambria"/>
              </w:rPr>
              <w:t>1</w:t>
            </w:r>
          </w:p>
        </w:tc>
        <w:tc>
          <w:tcPr>
            <w:tcW w:w="2262" w:type="dxa"/>
            <w:tcBorders>
              <w:top w:val="nil"/>
              <w:left w:val="nil"/>
              <w:bottom w:val="nil"/>
              <w:right w:val="nil"/>
            </w:tcBorders>
          </w:tcPr>
          <w:p w14:paraId="210548DD" w14:textId="77777777" w:rsidR="00F62885" w:rsidRPr="00086A14" w:rsidRDefault="005A3BA7" w:rsidP="005A3BA7">
            <w:pPr>
              <w:jc w:val="center"/>
              <w:rPr>
                <w:rFonts w:ascii="Cambria" w:hAnsi="Cambria"/>
              </w:rPr>
            </w:pPr>
            <w:r w:rsidRPr="00086A14">
              <w:rPr>
                <w:rFonts w:ascii="Cambria" w:hAnsi="Cambria"/>
              </w:rPr>
              <w:t>104.9</w:t>
            </w:r>
          </w:p>
        </w:tc>
      </w:tr>
      <w:tr w:rsidR="00F62885" w:rsidRPr="00086A14" w14:paraId="0506C79F" w14:textId="77777777" w:rsidTr="005A3BA7">
        <w:tc>
          <w:tcPr>
            <w:tcW w:w="2564" w:type="dxa"/>
            <w:tcBorders>
              <w:top w:val="nil"/>
              <w:left w:val="nil"/>
              <w:bottom w:val="nil"/>
              <w:right w:val="nil"/>
            </w:tcBorders>
          </w:tcPr>
          <w:p w14:paraId="563EBBB0" w14:textId="77777777" w:rsidR="00F62885" w:rsidRPr="00086A14" w:rsidRDefault="00F62885">
            <w:pPr>
              <w:rPr>
                <w:rFonts w:ascii="Cambria" w:hAnsi="Cambria"/>
              </w:rPr>
            </w:pPr>
            <w:r w:rsidRPr="00086A14">
              <w:rPr>
                <w:rFonts w:ascii="Cambria" w:hAnsi="Cambria"/>
              </w:rPr>
              <w:t>Marketings in June</w:t>
            </w:r>
          </w:p>
        </w:tc>
        <w:tc>
          <w:tcPr>
            <w:tcW w:w="2262" w:type="dxa"/>
            <w:tcBorders>
              <w:top w:val="nil"/>
              <w:left w:val="nil"/>
              <w:bottom w:val="nil"/>
              <w:right w:val="nil"/>
            </w:tcBorders>
          </w:tcPr>
          <w:p w14:paraId="3FB331B1" w14:textId="77777777" w:rsidR="00F62885" w:rsidRPr="00086A14" w:rsidRDefault="005A3BA7" w:rsidP="005A3BA7">
            <w:pPr>
              <w:jc w:val="center"/>
              <w:rPr>
                <w:rFonts w:ascii="Cambria" w:hAnsi="Cambria"/>
              </w:rPr>
            </w:pPr>
            <w:r w:rsidRPr="00086A14">
              <w:rPr>
                <w:rFonts w:ascii="Cambria" w:hAnsi="Cambria"/>
              </w:rPr>
              <w:t>1,969</w:t>
            </w:r>
          </w:p>
        </w:tc>
        <w:tc>
          <w:tcPr>
            <w:tcW w:w="2262" w:type="dxa"/>
            <w:tcBorders>
              <w:top w:val="nil"/>
              <w:left w:val="nil"/>
              <w:bottom w:val="nil"/>
              <w:right w:val="nil"/>
            </w:tcBorders>
          </w:tcPr>
          <w:p w14:paraId="58863C93" w14:textId="77777777" w:rsidR="00F62885" w:rsidRPr="00086A14" w:rsidRDefault="005A3BA7" w:rsidP="005A3BA7">
            <w:pPr>
              <w:jc w:val="center"/>
              <w:rPr>
                <w:rFonts w:ascii="Cambria" w:hAnsi="Cambria"/>
              </w:rPr>
            </w:pPr>
            <w:r w:rsidRPr="00086A14">
              <w:rPr>
                <w:rFonts w:ascii="Cambria" w:hAnsi="Cambria"/>
              </w:rPr>
              <w:t>101.3</w:t>
            </w:r>
          </w:p>
        </w:tc>
        <w:tc>
          <w:tcPr>
            <w:tcW w:w="2262" w:type="dxa"/>
            <w:tcBorders>
              <w:top w:val="nil"/>
              <w:left w:val="nil"/>
              <w:bottom w:val="nil"/>
              <w:right w:val="nil"/>
            </w:tcBorders>
          </w:tcPr>
          <w:p w14:paraId="30CEB51C" w14:textId="77777777" w:rsidR="00F62885" w:rsidRPr="00086A14" w:rsidRDefault="005A3BA7" w:rsidP="005A3BA7">
            <w:pPr>
              <w:jc w:val="center"/>
              <w:rPr>
                <w:rFonts w:ascii="Cambria" w:hAnsi="Cambria"/>
              </w:rPr>
            </w:pPr>
            <w:r w:rsidRPr="00086A14">
              <w:rPr>
                <w:rFonts w:ascii="Cambria" w:hAnsi="Cambria"/>
              </w:rPr>
              <w:t>100.7</w:t>
            </w:r>
          </w:p>
        </w:tc>
      </w:tr>
      <w:tr w:rsidR="00F62885" w:rsidRPr="00086A14" w14:paraId="2FC38D69" w14:textId="77777777" w:rsidTr="005A3BA7">
        <w:tc>
          <w:tcPr>
            <w:tcW w:w="2564" w:type="dxa"/>
            <w:tcBorders>
              <w:top w:val="nil"/>
              <w:left w:val="nil"/>
              <w:bottom w:val="single" w:sz="4" w:space="0" w:color="auto"/>
              <w:right w:val="nil"/>
            </w:tcBorders>
          </w:tcPr>
          <w:p w14:paraId="7024C712" w14:textId="77777777" w:rsidR="00F62885" w:rsidRPr="00086A14" w:rsidRDefault="00F62885">
            <w:pPr>
              <w:rPr>
                <w:rFonts w:ascii="Cambria" w:hAnsi="Cambria"/>
              </w:rPr>
            </w:pPr>
            <w:r w:rsidRPr="00086A14">
              <w:rPr>
                <w:rFonts w:ascii="Cambria" w:hAnsi="Cambria"/>
              </w:rPr>
              <w:t>On Feed July 1</w:t>
            </w:r>
          </w:p>
        </w:tc>
        <w:tc>
          <w:tcPr>
            <w:tcW w:w="2262" w:type="dxa"/>
            <w:tcBorders>
              <w:top w:val="nil"/>
              <w:left w:val="nil"/>
              <w:bottom w:val="single" w:sz="4" w:space="0" w:color="auto"/>
              <w:right w:val="nil"/>
            </w:tcBorders>
          </w:tcPr>
          <w:p w14:paraId="4DF5F31A" w14:textId="77777777" w:rsidR="00F62885" w:rsidRPr="00086A14" w:rsidRDefault="005A3BA7" w:rsidP="005A3BA7">
            <w:pPr>
              <w:jc w:val="center"/>
              <w:rPr>
                <w:rFonts w:ascii="Cambria" w:hAnsi="Cambria"/>
              </w:rPr>
            </w:pPr>
            <w:r w:rsidRPr="00086A14">
              <w:rPr>
                <w:rFonts w:ascii="Cambria" w:hAnsi="Cambria"/>
              </w:rPr>
              <w:t>11,438</w:t>
            </w:r>
          </w:p>
        </w:tc>
        <w:tc>
          <w:tcPr>
            <w:tcW w:w="2262" w:type="dxa"/>
            <w:tcBorders>
              <w:top w:val="nil"/>
              <w:left w:val="nil"/>
              <w:bottom w:val="single" w:sz="4" w:space="0" w:color="auto"/>
              <w:right w:val="nil"/>
            </w:tcBorders>
          </w:tcPr>
          <w:p w14:paraId="6F7C0622" w14:textId="77777777" w:rsidR="00F62885" w:rsidRPr="00086A14" w:rsidRDefault="005A3BA7" w:rsidP="005A3BA7">
            <w:pPr>
              <w:jc w:val="center"/>
              <w:rPr>
                <w:rFonts w:ascii="Cambria" w:hAnsi="Cambria"/>
              </w:rPr>
            </w:pPr>
            <w:r w:rsidRPr="00086A14">
              <w:rPr>
                <w:rFonts w:ascii="Cambria" w:hAnsi="Cambria"/>
              </w:rPr>
              <w:t>99.6</w:t>
            </w:r>
          </w:p>
        </w:tc>
        <w:tc>
          <w:tcPr>
            <w:tcW w:w="2262" w:type="dxa"/>
            <w:tcBorders>
              <w:top w:val="nil"/>
              <w:left w:val="nil"/>
              <w:bottom w:val="single" w:sz="4" w:space="0" w:color="auto"/>
              <w:right w:val="nil"/>
            </w:tcBorders>
          </w:tcPr>
          <w:p w14:paraId="04043074" w14:textId="77777777" w:rsidR="00F62885" w:rsidRPr="00086A14" w:rsidRDefault="005A3BA7" w:rsidP="005A3BA7">
            <w:pPr>
              <w:jc w:val="center"/>
              <w:rPr>
                <w:rFonts w:ascii="Cambria" w:hAnsi="Cambria"/>
              </w:rPr>
            </w:pPr>
            <w:r w:rsidRPr="00086A14">
              <w:rPr>
                <w:rFonts w:ascii="Cambria" w:hAnsi="Cambria"/>
              </w:rPr>
              <w:t>100.2</w:t>
            </w:r>
          </w:p>
        </w:tc>
      </w:tr>
      <w:tr w:rsidR="005A3BA7" w:rsidRPr="00086A14" w14:paraId="4DD154F0" w14:textId="77777777" w:rsidTr="005A3BA7">
        <w:tc>
          <w:tcPr>
            <w:tcW w:w="4826" w:type="dxa"/>
            <w:gridSpan w:val="2"/>
            <w:tcBorders>
              <w:left w:val="nil"/>
              <w:bottom w:val="nil"/>
              <w:right w:val="nil"/>
            </w:tcBorders>
          </w:tcPr>
          <w:p w14:paraId="7C14C29E" w14:textId="77777777" w:rsidR="005A3BA7" w:rsidRPr="00086A14" w:rsidRDefault="005A3BA7" w:rsidP="005A3BA7">
            <w:pPr>
              <w:rPr>
                <w:rFonts w:ascii="Cambria" w:hAnsi="Cambria"/>
                <w:sz w:val="20"/>
                <w:szCs w:val="20"/>
              </w:rPr>
            </w:pPr>
            <w:r w:rsidRPr="00086A14">
              <w:rPr>
                <w:rFonts w:ascii="Cambria" w:hAnsi="Cambria"/>
                <w:sz w:val="20"/>
                <w:szCs w:val="20"/>
              </w:rPr>
              <w:t>*Source: Livestock Marketing Information Center.</w:t>
            </w:r>
          </w:p>
        </w:tc>
        <w:tc>
          <w:tcPr>
            <w:tcW w:w="2262" w:type="dxa"/>
            <w:tcBorders>
              <w:left w:val="nil"/>
              <w:bottom w:val="nil"/>
              <w:right w:val="nil"/>
            </w:tcBorders>
          </w:tcPr>
          <w:p w14:paraId="437B208F" w14:textId="77777777" w:rsidR="005A3BA7" w:rsidRPr="00086A14" w:rsidRDefault="005A3BA7" w:rsidP="005A3BA7">
            <w:pPr>
              <w:jc w:val="center"/>
              <w:rPr>
                <w:rFonts w:ascii="Cambria" w:hAnsi="Cambria"/>
              </w:rPr>
            </w:pPr>
          </w:p>
        </w:tc>
        <w:tc>
          <w:tcPr>
            <w:tcW w:w="2262" w:type="dxa"/>
            <w:tcBorders>
              <w:left w:val="nil"/>
              <w:bottom w:val="nil"/>
              <w:right w:val="nil"/>
            </w:tcBorders>
          </w:tcPr>
          <w:p w14:paraId="659CDCD9" w14:textId="77777777" w:rsidR="005A3BA7" w:rsidRPr="00086A14" w:rsidRDefault="005A3BA7" w:rsidP="005A3BA7">
            <w:pPr>
              <w:jc w:val="center"/>
              <w:rPr>
                <w:rFonts w:ascii="Cambria" w:hAnsi="Cambria"/>
              </w:rPr>
            </w:pPr>
          </w:p>
        </w:tc>
      </w:tr>
    </w:tbl>
    <w:p w14:paraId="72B44870" w14:textId="77777777" w:rsidR="00A376C1" w:rsidRPr="00086A14" w:rsidRDefault="005A3BA7" w:rsidP="00A376C1">
      <w:pPr>
        <w:spacing w:before="240"/>
        <w:rPr>
          <w:rFonts w:ascii="Cambria" w:hAnsi="Cambria"/>
        </w:rPr>
      </w:pPr>
      <w:r w:rsidRPr="00086A14">
        <w:rPr>
          <w:rFonts w:ascii="Cambria" w:hAnsi="Cambria"/>
        </w:rPr>
        <w:t xml:space="preserve">This month’s report may be thought of as a return to something like normalcy in terms of feedlot inventories and operation.  </w:t>
      </w:r>
      <w:r w:rsidR="00A376C1" w:rsidRPr="00086A14">
        <w:rPr>
          <w:rFonts w:ascii="Cambria" w:hAnsi="Cambria"/>
        </w:rPr>
        <w:t xml:space="preserve">On balance, the July 1 on-feed inventory is about even with last year’s figure (figure 1a).  Overall, after dropping sharply in April and May due to a sharp slow-down in placements, the total on-feed inventory has returned to a fairly normal seasonal pattern at a level close to the previous year.   Front-end inventories (i.e., cattle that have been on feed for long enough to be considered essentially market ready) remain large.  The number of cattle on feed for 120 days or more dropped in June as marketings rebounded, but they remain almost 20% larger than they were a year ago.   </w:t>
      </w:r>
    </w:p>
    <w:p w14:paraId="094BD4F2" w14:textId="77777777" w:rsidR="00A376C1" w:rsidRPr="00086A14" w:rsidRDefault="00A376C1" w:rsidP="00A376C1">
      <w:pPr>
        <w:spacing w:before="240"/>
        <w:rPr>
          <w:rFonts w:ascii="Cambria" w:hAnsi="Cambria"/>
        </w:rPr>
      </w:pPr>
      <w:r w:rsidRPr="00086A14">
        <w:rPr>
          <w:rFonts w:ascii="Cambria" w:hAnsi="Cambria"/>
        </w:rPr>
        <w:t>Marketings were up a bit from a year ago but were sharply higher than the past two months (figure 1b).  With slaughter levels returning to about even with last year’s pace, feedlots were able to get back to a normal pace of marketings as well.</w:t>
      </w:r>
    </w:p>
    <w:p w14:paraId="3D34FCE4" w14:textId="77777777" w:rsidR="005A3BA7" w:rsidRPr="00086A14" w:rsidRDefault="005A3BA7" w:rsidP="005A3BA7">
      <w:pPr>
        <w:spacing w:before="240"/>
        <w:rPr>
          <w:rFonts w:ascii="Cambria" w:hAnsi="Cambria"/>
        </w:rPr>
      </w:pPr>
      <w:r w:rsidRPr="00086A14">
        <w:rPr>
          <w:rFonts w:ascii="Cambria" w:hAnsi="Cambria"/>
        </w:rPr>
        <w:t>The biggest discrepancy from a year ago was in the placements figure, and that was a relatively small year-over-year deviation at that</w:t>
      </w:r>
      <w:r w:rsidR="00C9607F" w:rsidRPr="00086A14">
        <w:rPr>
          <w:rFonts w:ascii="Cambria" w:hAnsi="Cambria"/>
        </w:rPr>
        <w:t xml:space="preserve"> (figure 1</w:t>
      </w:r>
      <w:r w:rsidR="00A376C1" w:rsidRPr="00086A14">
        <w:rPr>
          <w:rFonts w:ascii="Cambria" w:hAnsi="Cambria"/>
        </w:rPr>
        <w:t>c</w:t>
      </w:r>
      <w:r w:rsidR="00C9607F" w:rsidRPr="00086A14">
        <w:rPr>
          <w:rFonts w:ascii="Cambria" w:hAnsi="Cambria"/>
        </w:rPr>
        <w:t>)</w:t>
      </w:r>
      <w:r w:rsidRPr="00086A14">
        <w:rPr>
          <w:rFonts w:ascii="Cambria" w:hAnsi="Cambria"/>
        </w:rPr>
        <w:t xml:space="preserve">.  For what it’s worth, COVID seemed to have </w:t>
      </w:r>
      <w:r w:rsidR="00C9607F" w:rsidRPr="00086A14">
        <w:rPr>
          <w:rFonts w:ascii="Cambria" w:hAnsi="Cambria"/>
        </w:rPr>
        <w:t xml:space="preserve">had </w:t>
      </w:r>
      <w:r w:rsidRPr="00086A14">
        <w:rPr>
          <w:rFonts w:ascii="Cambria" w:hAnsi="Cambria"/>
        </w:rPr>
        <w:t>little to do with placements in June.  The bigger factor was that deteriorating pasture conditions due to a widening western drought were pushing cattle off of rangeland and pasture and into feedlots.  This effect was smaller than many pre-report analysts anticipated, as the figures in table 1 suggest</w:t>
      </w:r>
      <w:r w:rsidR="00A62B7B" w:rsidRPr="00086A14">
        <w:rPr>
          <w:rFonts w:ascii="Cambria" w:hAnsi="Cambria"/>
        </w:rPr>
        <w:t>.</w:t>
      </w:r>
    </w:p>
    <w:p w14:paraId="34D67A6A" w14:textId="77777777" w:rsidR="009F0A7E" w:rsidRPr="00086A14" w:rsidRDefault="009F0A7E">
      <w:pPr>
        <w:rPr>
          <w:rFonts w:ascii="Cambria" w:hAnsi="Cambria"/>
        </w:rPr>
      </w:pPr>
    </w:p>
    <w:p w14:paraId="23230834" w14:textId="77777777" w:rsidR="00A376C1" w:rsidRPr="00086A14" w:rsidRDefault="00A376C1">
      <w:pPr>
        <w:rPr>
          <w:rFonts w:ascii="Cambria" w:hAnsi="Cambria"/>
        </w:rPr>
      </w:pPr>
    </w:p>
    <w:p w14:paraId="11FE889D" w14:textId="77777777" w:rsidR="00A376C1" w:rsidRPr="00086A14" w:rsidRDefault="00A376C1">
      <w:pPr>
        <w:rPr>
          <w:rFonts w:ascii="Cambria" w:hAnsi="Cambria"/>
        </w:rPr>
      </w:pPr>
      <w:r w:rsidRPr="00086A14">
        <w:rPr>
          <w:rFonts w:ascii="Cambria" w:hAnsi="Cambria"/>
        </w:rPr>
        <w:br w:type="page"/>
      </w:r>
    </w:p>
    <w:p w14:paraId="6CCB9AB7" w14:textId="77777777" w:rsidR="00A376C1" w:rsidRPr="00086A14" w:rsidRDefault="00A376C1" w:rsidP="00A376C1">
      <w:pPr>
        <w:spacing w:before="240"/>
        <w:rPr>
          <w:rFonts w:ascii="Cambria" w:hAnsi="Cambria"/>
          <w:sz w:val="20"/>
          <w:szCs w:val="20"/>
        </w:rPr>
      </w:pPr>
      <w:r w:rsidRPr="00086A14">
        <w:rPr>
          <w:rFonts w:ascii="Cambria" w:hAnsi="Cambria"/>
          <w:b/>
          <w:noProof/>
        </w:rPr>
        <w:lastRenderedPageBreak/>
        <mc:AlternateContent>
          <mc:Choice Requires="wps">
            <w:drawing>
              <wp:anchor distT="45720" distB="45720" distL="114300" distR="114300" simplePos="0" relativeHeight="251665408" behindDoc="0" locked="0" layoutInCell="1" allowOverlap="1" wp14:anchorId="1EA2F5B7" wp14:editId="6CB93509">
                <wp:simplePos x="0" y="0"/>
                <wp:positionH relativeFrom="column">
                  <wp:posOffset>1014730</wp:posOffset>
                </wp:positionH>
                <wp:positionV relativeFrom="paragraph">
                  <wp:posOffset>6356985</wp:posOffset>
                </wp:positionV>
                <wp:extent cx="2360930" cy="1404620"/>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625E101" w14:textId="77777777" w:rsidR="00A376C1" w:rsidRDefault="00A376C1" w:rsidP="00A376C1">
                            <w:pPr>
                              <w:pStyle w:val="ListParagraph"/>
                              <w:numPr>
                                <w:ilvl w:val="0"/>
                                <w:numId w:val="1"/>
                              </w:numPr>
                            </w:pPr>
                            <w:r>
                              <w:t>Placements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A2F5B7" id="_x0000_t202" coordsize="21600,21600" o:spt="202" path="m,l,21600r21600,l21600,xe">
                <v:stroke joinstyle="miter"/>
                <v:path gradientshapeok="t" o:connecttype="rect"/>
              </v:shapetype>
              <v:shape id="Text Box 2" o:spid="_x0000_s1026" type="#_x0000_t202" style="position:absolute;margin-left:79.9pt;margin-top:500.5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" stroked="f">
                <v:textbox style="mso-fit-shape-to-text:t">
                  <w:txbxContent>
                    <w:p w14:paraId="2625E101" w14:textId="77777777" w:rsidR="00A376C1" w:rsidRDefault="00A376C1" w:rsidP="00A376C1">
                      <w:pPr>
                        <w:pStyle w:val="ListParagraph"/>
                        <w:numPr>
                          <w:ilvl w:val="0"/>
                          <w:numId w:val="1"/>
                        </w:numPr>
                      </w:pPr>
                      <w:r>
                        <w:t>Placements</w:t>
                      </w:r>
                    </w:p>
                  </w:txbxContent>
                </v:textbox>
              </v:shape>
            </w:pict>
          </mc:Fallback>
        </mc:AlternateContent>
      </w:r>
      <w:r w:rsidRPr="00086A14">
        <w:rPr>
          <w:rFonts w:ascii="Cambria" w:hAnsi="Cambria"/>
          <w:b/>
          <w:noProof/>
        </w:rPr>
        <mc:AlternateContent>
          <mc:Choice Requires="wps">
            <w:drawing>
              <wp:anchor distT="45720" distB="45720" distL="114300" distR="114300" simplePos="0" relativeHeight="251663360" behindDoc="0" locked="0" layoutInCell="1" allowOverlap="1" wp14:anchorId="18348605" wp14:editId="32062916">
                <wp:simplePos x="0" y="0"/>
                <wp:positionH relativeFrom="column">
                  <wp:posOffset>1122680</wp:posOffset>
                </wp:positionH>
                <wp:positionV relativeFrom="paragraph">
                  <wp:posOffset>3874135</wp:posOffset>
                </wp:positionV>
                <wp:extent cx="2360930" cy="1404620"/>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2473800" w14:textId="77777777" w:rsidR="00A376C1" w:rsidRDefault="00A376C1" w:rsidP="00A376C1">
                            <w:pPr>
                              <w:pStyle w:val="ListParagraph"/>
                              <w:numPr>
                                <w:ilvl w:val="0"/>
                                <w:numId w:val="1"/>
                              </w:numPr>
                            </w:pPr>
                            <w:r>
                              <w:t>Marketings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348605" id="_x0000_s1027" type="#_x0000_t202" style="position:absolute;margin-left:88.4pt;margin-top:305.0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" stroked="f">
                <v:textbox style="mso-fit-shape-to-text:t">
                  <w:txbxContent>
                    <w:p w14:paraId="22473800" w14:textId="77777777" w:rsidR="00A376C1" w:rsidRDefault="00A376C1" w:rsidP="00A376C1">
                      <w:pPr>
                        <w:pStyle w:val="ListParagraph"/>
                        <w:numPr>
                          <w:ilvl w:val="0"/>
                          <w:numId w:val="1"/>
                        </w:numPr>
                      </w:pPr>
                      <w:r>
                        <w:t>Marketings</w:t>
                      </w:r>
                    </w:p>
                  </w:txbxContent>
                </v:textbox>
              </v:shape>
            </w:pict>
          </mc:Fallback>
        </mc:AlternateContent>
      </w:r>
      <w:r w:rsidRPr="00086A14">
        <w:rPr>
          <w:rFonts w:ascii="Cambria" w:hAnsi="Cambria"/>
          <w:b/>
          <w:noProof/>
        </w:rPr>
        <mc:AlternateContent>
          <mc:Choice Requires="wps">
            <w:drawing>
              <wp:anchor distT="45720" distB="45720" distL="114300" distR="114300" simplePos="0" relativeHeight="251661312" behindDoc="0" locked="0" layoutInCell="1" allowOverlap="1" wp14:anchorId="3162FE78" wp14:editId="3DC91464">
                <wp:simplePos x="0" y="0"/>
                <wp:positionH relativeFrom="column">
                  <wp:posOffset>1084580</wp:posOffset>
                </wp:positionH>
                <wp:positionV relativeFrom="paragraph">
                  <wp:posOffset>1353185</wp:posOffset>
                </wp:positionV>
                <wp:extent cx="236093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CA45E8A" w14:textId="77777777" w:rsidR="00A376C1" w:rsidRDefault="00A376C1" w:rsidP="00A376C1">
                            <w:pPr>
                              <w:pStyle w:val="ListParagraph"/>
                              <w:numPr>
                                <w:ilvl w:val="0"/>
                                <w:numId w:val="1"/>
                              </w:numPr>
                            </w:pPr>
                            <w:r>
                              <w:t>On-feed Inventory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62FE78" id="_x0000_s1028" type="#_x0000_t202" style="position:absolute;margin-left:85.4pt;margin-top:106.5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" stroked="f">
                <v:textbox style="mso-fit-shape-to-text:t">
                  <w:txbxContent>
                    <w:p w14:paraId="1CA45E8A" w14:textId="77777777" w:rsidR="00A376C1" w:rsidRDefault="00A376C1" w:rsidP="00A376C1">
                      <w:pPr>
                        <w:pStyle w:val="ListParagraph"/>
                        <w:numPr>
                          <w:ilvl w:val="0"/>
                          <w:numId w:val="1"/>
                        </w:numPr>
                      </w:pPr>
                      <w:r>
                        <w:t>On-feed Inventory</w:t>
                      </w:r>
                    </w:p>
                  </w:txbxContent>
                </v:textbox>
              </v:shape>
            </w:pict>
          </mc:Fallback>
        </mc:AlternateContent>
      </w:r>
      <w:r w:rsidRPr="00086A14">
        <w:rPr>
          <w:rFonts w:ascii="Cambria" w:hAnsi="Cambria"/>
          <w:noProof/>
          <w:sz w:val="20"/>
          <w:szCs w:val="20"/>
        </w:rPr>
        <mc:AlternateContent>
          <mc:Choice Requires="wpg">
            <w:drawing>
              <wp:anchor distT="0" distB="0" distL="114300" distR="114300" simplePos="0" relativeHeight="251659264" behindDoc="0" locked="0" layoutInCell="1" allowOverlap="1" wp14:anchorId="66200F27" wp14:editId="76F2284D">
                <wp:simplePos x="0" y="0"/>
                <wp:positionH relativeFrom="margin">
                  <wp:align>left</wp:align>
                </wp:positionH>
                <wp:positionV relativeFrom="paragraph">
                  <wp:posOffset>0</wp:posOffset>
                </wp:positionV>
                <wp:extent cx="4514850" cy="7620000"/>
                <wp:effectExtent l="0" t="0" r="0" b="0"/>
                <wp:wrapTopAndBottom/>
                <wp:docPr id="3" name="Group 2">
                  <a:extLst xmlns:a="http://schemas.openxmlformats.org/drawingml/2006/main">
                    <a:ext uri="{FF2B5EF4-FFF2-40B4-BE49-F238E27FC236}">
                      <a16:creationId xmlns:a16="http://schemas.microsoft.com/office/drawing/2014/main" id="{696F3D34-3CD0-42A3-978A-F23867FF8514}"/>
                    </a:ext>
                  </a:extLst>
                </wp:docPr>
                <wp:cNvGraphicFramePr/>
                <a:graphic xmlns:a="http://schemas.openxmlformats.org/drawingml/2006/main">
                  <a:graphicData uri="http://schemas.microsoft.com/office/word/2010/wordprocessingGroup">
                    <wpg:wgp>
                      <wpg:cNvGrpSpPr/>
                      <wpg:grpSpPr>
                        <a:xfrm>
                          <a:off x="0" y="0"/>
                          <a:ext cx="4514850" cy="7620000"/>
                          <a:chOff x="0" y="0"/>
                          <a:chExt cx="5046499" cy="10529066"/>
                        </a:xfrm>
                      </wpg:grpSpPr>
                      <wpg:graphicFrame>
                        <wpg:cNvPr id="2" name="Chart 2">
                          <a:extLst>
                            <a:ext uri="{FF2B5EF4-FFF2-40B4-BE49-F238E27FC236}">
                              <a16:creationId xmlns:a16="http://schemas.microsoft.com/office/drawing/2014/main" id="{00000000-0008-0000-0100-0000A2970C00}"/>
                            </a:ext>
                          </a:extLst>
                        </wpg:cNvPr>
                        <wpg:cNvFrPr>
                          <a:graphicFrameLocks/>
                        </wpg:cNvFrPr>
                        <wpg:xfrm>
                          <a:off x="0" y="6672097"/>
                          <a:ext cx="5046499" cy="3856969"/>
                        </wpg:xfrm>
                        <a:graphic>
                          <a:graphicData uri="http://schemas.openxmlformats.org/drawingml/2006/chart">
                            <c:chart xmlns:c="http://schemas.openxmlformats.org/drawingml/2006/chart" xmlns:r="http://schemas.openxmlformats.org/officeDocument/2006/relationships" r:id="rId9"/>
                          </a:graphicData>
                        </a:graphic>
                      </wpg:graphicFrame>
                      <wpg:graphicFrame>
                        <wpg:cNvPr id="4" name="Chart 4">
                          <a:extLst>
                            <a:ext uri="{FF2B5EF4-FFF2-40B4-BE49-F238E27FC236}">
                              <a16:creationId xmlns:a16="http://schemas.microsoft.com/office/drawing/2014/main" id="{00000000-0008-0000-0100-0000A5970C00}"/>
                            </a:ext>
                          </a:extLst>
                        </wpg:cNvPr>
                        <wpg:cNvFrPr>
                          <a:graphicFrameLocks/>
                        </wpg:cNvFrPr>
                        <wpg:xfrm>
                          <a:off x="2516" y="3329150"/>
                          <a:ext cx="5043980" cy="3335173"/>
                        </wpg:xfrm>
                        <a:graphic>
                          <a:graphicData uri="http://schemas.openxmlformats.org/drawingml/2006/chart">
                            <c:chart xmlns:c="http://schemas.openxmlformats.org/drawingml/2006/chart" xmlns:r="http://schemas.openxmlformats.org/officeDocument/2006/relationships" r:id="rId10"/>
                          </a:graphicData>
                        </a:graphic>
                      </wpg:graphicFrame>
                      <wpg:graphicFrame>
                        <wpg:cNvPr id="5" name="Chart 5">
                          <a:extLst>
                            <a:ext uri="{FF2B5EF4-FFF2-40B4-BE49-F238E27FC236}">
                              <a16:creationId xmlns:a16="http://schemas.microsoft.com/office/drawing/2014/main" id="{00000000-0008-0000-0100-00000C000000}"/>
                            </a:ext>
                          </a:extLst>
                        </wpg:cNvPr>
                        <wpg:cNvFrPr>
                          <a:graphicFrameLocks/>
                        </wpg:cNvFrPr>
                        <wpg:xfrm>
                          <a:off x="2518" y="0"/>
                          <a:ext cx="5042556" cy="3339223"/>
                        </wpg:xfrm>
                        <a:graphic>
                          <a:graphicData uri="http://schemas.openxmlformats.org/drawingml/2006/chart">
                            <c:chart xmlns:c="http://schemas.openxmlformats.org/drawingml/2006/chart" xmlns:r="http://schemas.openxmlformats.org/officeDocument/2006/relationships" r:id="rId11"/>
                          </a:graphicData>
                        </a:graphic>
                      </wpg:graphicFrame>
                    </wpg:wgp>
                  </a:graphicData>
                </a:graphic>
                <wp14:sizeRelH relativeFrom="margin">
                  <wp14:pctWidth>0</wp14:pctWidth>
                </wp14:sizeRelH>
                <wp14:sizeRelV relativeFrom="margin">
                  <wp14:pctHeight>0</wp14:pctHeight>
                </wp14:sizeRelV>
              </wp:anchor>
            </w:drawing>
          </mc:Choice>
          <mc:Fallback>
            <w:pict>
              <v:group w14:anchorId="4CD2D9AB" id="Group 2" o:spid="_x0000_s1026" style="position:absolute;margin-left:0;margin-top:0;width:355.5pt;height:600pt;z-index:251659264;mso-position-horizontal:left;mso-position-horizontal-relative:margin;mso-width-relative:margin;mso-height-relative:margin" coordsize="50464,105290" o:gfxdata="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top:66712;width:50490;height:385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">
                  <v:imagedata r:id="rId12" o:title=""/>
                  <o:lock v:ext="edit" aspectratio="f"/>
                </v:shape>
                <v:shape id="Chart 4" o:spid="_x0000_s1028" type="#_x0000_t75" style="position:absolute;top:33271;width:50490;height:333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">
                  <v:imagedata r:id="rId13" o:title=""/>
                  <o:lock v:ext="edit" aspectratio="f"/>
                </v:shape>
                <v:shape id="Chart 5" o:spid="_x0000_s1029" type="#_x0000_t75" style="position:absolute;width:50422;height:333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">
                  <v:imagedata r:id="rId14" o:title=""/>
                  <o:lock v:ext="edit" aspectratio="f"/>
                </v:shape>
                <w10:wrap type="topAndBottom" anchorx="margin"/>
              </v:group>
            </w:pict>
          </mc:Fallback>
        </mc:AlternateContent>
      </w:r>
      <w:r w:rsidRPr="00086A14">
        <w:rPr>
          <w:rFonts w:ascii="Cambria" w:hAnsi="Cambria"/>
          <w:sz w:val="20"/>
          <w:szCs w:val="20"/>
        </w:rPr>
        <w:t>Data Source: USDA National Agricultural Statistics Service</w:t>
      </w:r>
    </w:p>
    <w:p w14:paraId="59FB5AB6" w14:textId="77777777" w:rsidR="00A376C1" w:rsidRPr="00086A14" w:rsidRDefault="00A376C1">
      <w:pPr>
        <w:rPr>
          <w:rFonts w:ascii="Cambria" w:hAnsi="Cambria"/>
        </w:rPr>
      </w:pPr>
      <w:r w:rsidRPr="00086A14">
        <w:rPr>
          <w:rFonts w:ascii="Cambria" w:hAnsi="Cambria"/>
          <w:b/>
        </w:rPr>
        <w:t>Figure 1a-c.</w:t>
      </w:r>
      <w:r w:rsidRPr="00086A14">
        <w:rPr>
          <w:rFonts w:ascii="Cambria" w:hAnsi="Cambria"/>
        </w:rPr>
        <w:t xml:space="preserve">  Cattle on Feed Inventory, Monthly Marketings, and Monthly Placements</w:t>
      </w:r>
    </w:p>
    <w:p w14:paraId="1AD3D841" w14:textId="77777777" w:rsidR="00162351" w:rsidRPr="00086A14" w:rsidRDefault="00657CF2">
      <w:pPr>
        <w:rPr>
          <w:rFonts w:ascii="Cambria" w:hAnsi="Cambria"/>
        </w:rPr>
      </w:pPr>
      <w:r w:rsidRPr="00086A14">
        <w:rPr>
          <w:rFonts w:ascii="Cambria" w:hAnsi="Cambria"/>
        </w:rPr>
        <w:lastRenderedPageBreak/>
        <w:t xml:space="preserve">USDA National Agricultural Statistics Service also released the July 1 </w:t>
      </w:r>
      <w:r w:rsidRPr="00086A14">
        <w:rPr>
          <w:rFonts w:ascii="Cambria" w:hAnsi="Cambria"/>
          <w:i/>
        </w:rPr>
        <w:t>Cattle</w:t>
      </w:r>
      <w:r w:rsidRPr="00086A14">
        <w:rPr>
          <w:rFonts w:ascii="Cambria" w:hAnsi="Cambria"/>
        </w:rPr>
        <w:t xml:space="preserve"> inventory report on Friday.  This mid-year update of </w:t>
      </w:r>
      <w:r w:rsidR="00162351" w:rsidRPr="00086A14">
        <w:rPr>
          <w:rFonts w:ascii="Cambria" w:hAnsi="Cambria"/>
        </w:rPr>
        <w:t xml:space="preserve">cattle inventories is not generally as highly-anticipated as the January inventory report, which is considerably more comprehensive in that it includes state-level inventory figures.  This year’s mid-year inventory report is potentially of interest for providing on early read on COVID impacts on cattle numbers.  Going into the year, the beef industry was in the contraction phase of the normal cattle cycle.  That likely has not changed.  Indeed, the July 1 beef cow inventory was down by almost 1% from a year ago.  </w:t>
      </w:r>
    </w:p>
    <w:p w14:paraId="4C1BEAD0" w14:textId="77777777" w:rsidR="00A376C1" w:rsidRPr="00086A14" w:rsidRDefault="00162351">
      <w:pPr>
        <w:rPr>
          <w:rFonts w:ascii="Cambria" w:hAnsi="Cambria"/>
        </w:rPr>
      </w:pPr>
      <w:r w:rsidRPr="00086A14">
        <w:rPr>
          <w:rFonts w:ascii="Cambria" w:hAnsi="Cambria"/>
        </w:rPr>
        <w:t>It may well be, though, that COVID slowed the pace of contraction by making it more difficult to get cows slaughtered.  Similarly, the number of heifers reported in inventory for beef replacement was even with last year.  This represents a smaller decline in beef replacement heifers from January to July than has been the case in the last three or four years.  It may be that uncertainty in the feeding sector that massively disrupted placements encouraged producers to hold onto a few more heifers than they otherwise would have</w:t>
      </w:r>
      <w:r w:rsidR="003D0607" w:rsidRPr="00086A14">
        <w:rPr>
          <w:rFonts w:ascii="Cambria" w:hAnsi="Cambria"/>
        </w:rPr>
        <w:t xml:space="preserve">, at least temporarily. </w:t>
      </w:r>
      <w:r w:rsidRPr="00086A14">
        <w:rPr>
          <w:rFonts w:ascii="Cambria" w:hAnsi="Cambria"/>
        </w:rPr>
        <w:t xml:space="preserve"> </w:t>
      </w:r>
      <w:r w:rsidR="003D0607" w:rsidRPr="00086A14">
        <w:rPr>
          <w:rFonts w:ascii="Cambria" w:hAnsi="Cambria"/>
        </w:rPr>
        <w:t>It seems unlikely, based on 2020 price signals, that cattle producers would be all that interested in shifting back into expansion mode yet.</w:t>
      </w:r>
    </w:p>
    <w:p w14:paraId="660C060D" w14:textId="77777777" w:rsidR="00A376C1" w:rsidRPr="00086A14" w:rsidRDefault="00A376C1">
      <w:pPr>
        <w:rPr>
          <w:rFonts w:ascii="Cambria" w:hAnsi="Cambria"/>
        </w:rPr>
      </w:pPr>
    </w:p>
    <w:p w14:paraId="76510E6A" w14:textId="38C066CB" w:rsidR="00A376C1" w:rsidRDefault="00A376C1">
      <w:pPr>
        <w:rPr>
          <w:rFonts w:ascii="Cambria" w:hAnsi="Cambria"/>
        </w:rPr>
      </w:pPr>
    </w:p>
    <w:p w14:paraId="48343ADC" w14:textId="16C2DDD8" w:rsidR="00086A14" w:rsidRDefault="00086A14">
      <w:pPr>
        <w:rPr>
          <w:rFonts w:ascii="Cambria" w:hAnsi="Cambria"/>
        </w:rPr>
      </w:pPr>
    </w:p>
    <w:p w14:paraId="4CC56BBA" w14:textId="4CC2AA9E" w:rsidR="00086A14" w:rsidRDefault="00086A14">
      <w:pPr>
        <w:rPr>
          <w:rFonts w:ascii="Cambria" w:hAnsi="Cambria"/>
        </w:rPr>
      </w:pPr>
      <w:bookmarkStart w:id="0" w:name="_GoBack"/>
      <w:bookmarkEnd w:id="0"/>
    </w:p>
    <w:p w14:paraId="63184663" w14:textId="35513FBF" w:rsidR="00086A14" w:rsidRDefault="00086A14">
      <w:pPr>
        <w:rPr>
          <w:rFonts w:ascii="Cambria" w:hAnsi="Cambria"/>
        </w:rPr>
      </w:pPr>
    </w:p>
    <w:p w14:paraId="09075EED" w14:textId="7AD16A15" w:rsidR="00086A14" w:rsidRDefault="00086A14">
      <w:pPr>
        <w:rPr>
          <w:rFonts w:ascii="Cambria" w:hAnsi="Cambria"/>
        </w:rPr>
      </w:pPr>
    </w:p>
    <w:p w14:paraId="4EDFAC7A" w14:textId="75E8A01B" w:rsidR="00086A14" w:rsidRDefault="00086A14">
      <w:pPr>
        <w:rPr>
          <w:rFonts w:ascii="Cambria" w:hAnsi="Cambria"/>
        </w:rPr>
      </w:pPr>
    </w:p>
    <w:p w14:paraId="78531933" w14:textId="26FAC139" w:rsidR="00086A14" w:rsidRDefault="00086A14">
      <w:pPr>
        <w:rPr>
          <w:rFonts w:ascii="Cambria" w:hAnsi="Cambria"/>
        </w:rPr>
      </w:pPr>
    </w:p>
    <w:p w14:paraId="7CD37FBF" w14:textId="58D8ACA2" w:rsidR="00086A14" w:rsidRDefault="00086A14">
      <w:pPr>
        <w:rPr>
          <w:rFonts w:ascii="Cambria" w:hAnsi="Cambria"/>
        </w:rPr>
      </w:pPr>
    </w:p>
    <w:p w14:paraId="0B63B293" w14:textId="0AC65E37" w:rsidR="00086A14" w:rsidRDefault="00086A14">
      <w:pPr>
        <w:rPr>
          <w:rFonts w:ascii="Cambria" w:hAnsi="Cambria"/>
        </w:rPr>
      </w:pPr>
    </w:p>
    <w:p w14:paraId="62C36581" w14:textId="77777777" w:rsidR="00086A14" w:rsidRPr="00086A14" w:rsidRDefault="00086A14" w:rsidP="00086A14">
      <w:pPr>
        <w:rPr>
          <w:rFonts w:ascii="Cambria" w:hAnsi="Cambria"/>
          <w:color w:val="BFBFBF" w:themeColor="background1" w:themeShade="BF"/>
        </w:rPr>
      </w:pPr>
      <w:r w:rsidRPr="00086A14">
        <w:rPr>
          <w:rFonts w:ascii="Cambria" w:hAnsi="Cambria"/>
          <w:color w:val="BFBFBF" w:themeColor="background1" w:themeShade="BF"/>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71908EB" w14:textId="77777777" w:rsidR="00086A14" w:rsidRPr="00086A14" w:rsidRDefault="00086A14">
      <w:pPr>
        <w:rPr>
          <w:rFonts w:ascii="Cambria" w:hAnsi="Cambria"/>
        </w:rPr>
      </w:pPr>
    </w:p>
    <w:sectPr w:rsidR="00086A14" w:rsidRPr="00086A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E6D47" w14:textId="77777777" w:rsidR="005363DC" w:rsidRDefault="005363DC" w:rsidP="00C81B41">
      <w:pPr>
        <w:spacing w:after="0" w:line="240" w:lineRule="auto"/>
      </w:pPr>
      <w:r>
        <w:separator/>
      </w:r>
    </w:p>
  </w:endnote>
  <w:endnote w:type="continuationSeparator" w:id="0">
    <w:p w14:paraId="014D1DD4" w14:textId="77777777" w:rsidR="005363DC" w:rsidRDefault="005363DC" w:rsidP="00C8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71DF4" w14:textId="77777777" w:rsidR="005363DC" w:rsidRDefault="005363DC" w:rsidP="00C81B41">
      <w:pPr>
        <w:spacing w:after="0" w:line="240" w:lineRule="auto"/>
      </w:pPr>
      <w:r>
        <w:separator/>
      </w:r>
    </w:p>
  </w:footnote>
  <w:footnote w:type="continuationSeparator" w:id="0">
    <w:p w14:paraId="635D367C" w14:textId="77777777" w:rsidR="005363DC" w:rsidRDefault="005363DC" w:rsidP="00C81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50DFC"/>
    <w:multiLevelType w:val="hybridMultilevel"/>
    <w:tmpl w:val="C3B6A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41"/>
    <w:rsid w:val="000051D8"/>
    <w:rsid w:val="00035376"/>
    <w:rsid w:val="00086A14"/>
    <w:rsid w:val="00130E10"/>
    <w:rsid w:val="00162351"/>
    <w:rsid w:val="0021778D"/>
    <w:rsid w:val="003D0607"/>
    <w:rsid w:val="00451199"/>
    <w:rsid w:val="004E24DB"/>
    <w:rsid w:val="005363DC"/>
    <w:rsid w:val="005A3BA7"/>
    <w:rsid w:val="005B11ED"/>
    <w:rsid w:val="005F3569"/>
    <w:rsid w:val="00657CF2"/>
    <w:rsid w:val="00694B7E"/>
    <w:rsid w:val="006B0B51"/>
    <w:rsid w:val="006B58A3"/>
    <w:rsid w:val="006C5887"/>
    <w:rsid w:val="006D5F29"/>
    <w:rsid w:val="00833732"/>
    <w:rsid w:val="008427AA"/>
    <w:rsid w:val="00854084"/>
    <w:rsid w:val="008B6A95"/>
    <w:rsid w:val="008F6336"/>
    <w:rsid w:val="00977EFE"/>
    <w:rsid w:val="009F0A7E"/>
    <w:rsid w:val="00A077A1"/>
    <w:rsid w:val="00A376C1"/>
    <w:rsid w:val="00A62B7B"/>
    <w:rsid w:val="00AB5685"/>
    <w:rsid w:val="00C81B41"/>
    <w:rsid w:val="00C9607F"/>
    <w:rsid w:val="00CF7FE6"/>
    <w:rsid w:val="00E9494E"/>
    <w:rsid w:val="00F364C2"/>
    <w:rsid w:val="00F62885"/>
    <w:rsid w:val="00FB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4EA9"/>
  <w15:chartTrackingRefBased/>
  <w15:docId w15:val="{06B96806-0A24-4F3F-B6E9-F1E63AEA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1B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B41"/>
    <w:rPr>
      <w:sz w:val="20"/>
      <w:szCs w:val="20"/>
    </w:rPr>
  </w:style>
  <w:style w:type="character" w:styleId="FootnoteReference">
    <w:name w:val="footnote reference"/>
    <w:basedOn w:val="DefaultParagraphFont"/>
    <w:uiPriority w:val="99"/>
    <w:semiHidden/>
    <w:unhideWhenUsed/>
    <w:rsid w:val="00C81B41"/>
    <w:rPr>
      <w:vertAlign w:val="superscript"/>
    </w:rPr>
  </w:style>
  <w:style w:type="table" w:styleId="TableGrid">
    <w:name w:val="Table Grid"/>
    <w:basedOn w:val="TableNormal"/>
    <w:uiPriority w:val="39"/>
    <w:rsid w:val="00F6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jda042\Documents\Market%20News\cof_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da042\Documents\Market%20News\cof_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da042\Documents\Market%20News\cof_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499445718113477"/>
          <c:y val="5.8516441989253987E-2"/>
          <c:w val="0.79754696851049911"/>
          <c:h val="0.65078660277958544"/>
        </c:manualLayout>
      </c:layout>
      <c:lineChart>
        <c:grouping val="standard"/>
        <c:varyColors val="0"/>
        <c:ser>
          <c:idx val="0"/>
          <c:order val="0"/>
          <c:tx>
            <c:strRef>
              <c:f>Summary!$AL$239</c:f>
              <c:strCache>
                <c:ptCount val="1"/>
                <c:pt idx="0">
                  <c:v>Avg. 2016-18</c:v>
                </c:pt>
              </c:strCache>
            </c:strRef>
          </c:tx>
          <c:spPr>
            <a:ln>
              <a:prstDash val="sysDash"/>
            </a:ln>
          </c:spPr>
          <c:marker>
            <c:symbol val="none"/>
          </c:marker>
          <c:cat>
            <c:numRef>
              <c:f>Summary!$A$160:$A$171</c:f>
              <c:numCache>
                <c:formatCode>mmm\-yy</c:formatCode>
                <c:ptCount val="12"/>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numCache>
            </c:numRef>
          </c:cat>
          <c:val>
            <c:numRef>
              <c:f>Summary!$AN$241:$AN$252</c:f>
              <c:numCache>
                <c:formatCode>0</c:formatCode>
                <c:ptCount val="12"/>
                <c:pt idx="0">
                  <c:v>1942.6666666666667</c:v>
                </c:pt>
                <c:pt idx="1">
                  <c:v>1740.3333333333333</c:v>
                </c:pt>
                <c:pt idx="2">
                  <c:v>1976.6666666666667</c:v>
                </c:pt>
                <c:pt idx="3">
                  <c:v>1735.6666666666667</c:v>
                </c:pt>
                <c:pt idx="4">
                  <c:v>2044</c:v>
                </c:pt>
                <c:pt idx="5">
                  <c:v>1697.6666666666667</c:v>
                </c:pt>
                <c:pt idx="6">
                  <c:v>1643</c:v>
                </c:pt>
                <c:pt idx="7">
                  <c:v>1959</c:v>
                </c:pt>
                <c:pt idx="8">
                  <c:v>2032</c:v>
                </c:pt>
                <c:pt idx="9">
                  <c:v>2270.6666666666665</c:v>
                </c:pt>
                <c:pt idx="10">
                  <c:v>1979.3333333333333</c:v>
                </c:pt>
                <c:pt idx="11">
                  <c:v>1783.6666666666667</c:v>
                </c:pt>
              </c:numCache>
            </c:numRef>
          </c:val>
          <c:smooth val="0"/>
          <c:extLst>
            <c:ext xmlns:c16="http://schemas.microsoft.com/office/drawing/2014/chart" uri="{C3380CC4-5D6E-409C-BE32-E72D297353CC}">
              <c16:uniqueId val="{00000000-D39D-42BF-9266-405FC5A209C2}"/>
            </c:ext>
          </c:extLst>
        </c:ser>
        <c:ser>
          <c:idx val="3"/>
          <c:order val="1"/>
          <c:tx>
            <c:strRef>
              <c:f>Summary!$B$280</c:f>
              <c:strCache>
                <c:ptCount val="1"/>
                <c:pt idx="0">
                  <c:v>2019</c:v>
                </c:pt>
              </c:strCache>
            </c:strRef>
          </c:tx>
          <c:marker>
            <c:symbol val="none"/>
          </c:marker>
          <c:val>
            <c:numRef>
              <c:f>Summary!$F$280:$F$291</c:f>
              <c:numCache>
                <c:formatCode>General</c:formatCode>
                <c:ptCount val="12"/>
                <c:pt idx="0">
                  <c:v>1969</c:v>
                </c:pt>
                <c:pt idx="1">
                  <c:v>1858</c:v>
                </c:pt>
                <c:pt idx="2">
                  <c:v>2014</c:v>
                </c:pt>
                <c:pt idx="3">
                  <c:v>1842</c:v>
                </c:pt>
                <c:pt idx="4">
                  <c:v>2063</c:v>
                </c:pt>
                <c:pt idx="5">
                  <c:v>1761</c:v>
                </c:pt>
                <c:pt idx="6">
                  <c:v>1705</c:v>
                </c:pt>
                <c:pt idx="7">
                  <c:v>1884</c:v>
                </c:pt>
                <c:pt idx="8">
                  <c:v>2103</c:v>
                </c:pt>
                <c:pt idx="9">
                  <c:v>2462</c:v>
                </c:pt>
                <c:pt idx="10">
                  <c:v>2093</c:v>
                </c:pt>
                <c:pt idx="11">
                  <c:v>1828</c:v>
                </c:pt>
              </c:numCache>
            </c:numRef>
          </c:val>
          <c:smooth val="0"/>
          <c:extLst>
            <c:ext xmlns:c16="http://schemas.microsoft.com/office/drawing/2014/chart" uri="{C3380CC4-5D6E-409C-BE32-E72D297353CC}">
              <c16:uniqueId val="{00000001-D39D-42BF-9266-405FC5A209C2}"/>
            </c:ext>
          </c:extLst>
        </c:ser>
        <c:ser>
          <c:idx val="1"/>
          <c:order val="2"/>
          <c:tx>
            <c:strRef>
              <c:f>Summary!$AF$232</c:f>
              <c:strCache>
                <c:ptCount val="1"/>
                <c:pt idx="0">
                  <c:v>2020</c:v>
                </c:pt>
              </c:strCache>
            </c:strRef>
          </c:tx>
          <c:val>
            <c:numRef>
              <c:f>Summary!$F$292:$F$303</c:f>
              <c:numCache>
                <c:formatCode>General</c:formatCode>
                <c:ptCount val="12"/>
                <c:pt idx="0">
                  <c:v>1955</c:v>
                </c:pt>
                <c:pt idx="1">
                  <c:v>1716</c:v>
                </c:pt>
                <c:pt idx="2">
                  <c:v>1557</c:v>
                </c:pt>
                <c:pt idx="3">
                  <c:v>1432</c:v>
                </c:pt>
                <c:pt idx="4">
                  <c:v>2037</c:v>
                </c:pt>
                <c:pt idx="5">
                  <c:v>1798</c:v>
                </c:pt>
              </c:numCache>
            </c:numRef>
          </c:val>
          <c:smooth val="0"/>
          <c:extLst>
            <c:ext xmlns:c16="http://schemas.microsoft.com/office/drawing/2014/chart" uri="{C3380CC4-5D6E-409C-BE32-E72D297353CC}">
              <c16:uniqueId val="{00000002-D39D-42BF-9266-405FC5A209C2}"/>
            </c:ext>
          </c:extLst>
        </c:ser>
        <c:dLbls>
          <c:showLegendKey val="0"/>
          <c:showVal val="0"/>
          <c:showCatName val="0"/>
          <c:showSerName val="0"/>
          <c:showPercent val="0"/>
          <c:showBubbleSize val="0"/>
        </c:dLbls>
        <c:smooth val="0"/>
        <c:axId val="316453744"/>
        <c:axId val="316454304"/>
      </c:lineChart>
      <c:dateAx>
        <c:axId val="316453744"/>
        <c:scaling>
          <c:orientation val="minMax"/>
        </c:scaling>
        <c:delete val="0"/>
        <c:axPos val="b"/>
        <c:title>
          <c:tx>
            <c:rich>
              <a:bodyPr/>
              <a:lstStyle/>
              <a:p>
                <a:pPr>
                  <a:defRPr sz="1200" b="0" i="0" u="none" strike="noStrike" baseline="0">
                    <a:solidFill>
                      <a:srgbClr val="000000"/>
                    </a:solidFill>
                    <a:latin typeface="Calibri"/>
                    <a:ea typeface="Calibri"/>
                    <a:cs typeface="Calibri"/>
                  </a:defRPr>
                </a:pPr>
                <a:r>
                  <a:rPr lang="en-US"/>
                  <a:t>Month</a:t>
                </a:r>
              </a:p>
            </c:rich>
          </c:tx>
          <c:overlay val="0"/>
        </c:title>
        <c:numFmt formatCode="[$-409]mmmmm;@" sourceLinked="0"/>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316454304"/>
        <c:crosses val="autoZero"/>
        <c:auto val="1"/>
        <c:lblOffset val="100"/>
        <c:baseTimeUnit val="months"/>
      </c:dateAx>
      <c:valAx>
        <c:axId val="316454304"/>
        <c:scaling>
          <c:orientation val="minMax"/>
          <c:min val="1000"/>
        </c:scaling>
        <c:delete val="0"/>
        <c:axPos val="l"/>
        <c:title>
          <c:tx>
            <c:rich>
              <a:bodyPr/>
              <a:lstStyle/>
              <a:p>
                <a:pPr>
                  <a:defRPr sz="1200" b="0" i="0" u="none" strike="noStrike" baseline="0">
                    <a:solidFill>
                      <a:srgbClr val="000000"/>
                    </a:solidFill>
                    <a:latin typeface="Calibri"/>
                    <a:ea typeface="Calibri"/>
                    <a:cs typeface="Calibri"/>
                  </a:defRPr>
                </a:pPr>
                <a:r>
                  <a:rPr lang="en-US"/>
                  <a:t>1,000 head</a:t>
                </a:r>
              </a:p>
            </c:rich>
          </c:tx>
          <c:overlay val="0"/>
        </c:title>
        <c:numFmt formatCode="0"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316453744"/>
        <c:crosses val="autoZero"/>
        <c:crossBetween val="between"/>
      </c:valAx>
    </c:plotArea>
    <c:legend>
      <c:legendPos val="b"/>
      <c:layout>
        <c:manualLayout>
          <c:xMode val="edge"/>
          <c:yMode val="edge"/>
          <c:x val="0.17798809395400919"/>
          <c:y val="0.89286355205599299"/>
          <c:w val="0.7486800886890379"/>
          <c:h val="6.5828276006773934E-2"/>
        </c:manualLayout>
      </c:layout>
      <c:overlay val="0"/>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2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499445718113493"/>
          <c:y val="5.8516441989254007E-2"/>
          <c:w val="0.79754696851049911"/>
          <c:h val="0.76490091494207879"/>
        </c:manualLayout>
      </c:layout>
      <c:lineChart>
        <c:grouping val="standard"/>
        <c:varyColors val="0"/>
        <c:ser>
          <c:idx val="0"/>
          <c:order val="0"/>
          <c:tx>
            <c:strRef>
              <c:f>Summary!$AL$239</c:f>
              <c:strCache>
                <c:ptCount val="1"/>
                <c:pt idx="0">
                  <c:v>Avg. 2016-18</c:v>
                </c:pt>
              </c:strCache>
            </c:strRef>
          </c:tx>
          <c:spPr>
            <a:ln>
              <a:prstDash val="sysDash"/>
            </a:ln>
          </c:spPr>
          <c:marker>
            <c:symbol val="none"/>
          </c:marker>
          <c:cat>
            <c:numRef>
              <c:f>Summary!$A$160:$A$171</c:f>
              <c:numCache>
                <c:formatCode>mmm\-yy</c:formatCode>
                <c:ptCount val="12"/>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numCache>
            </c:numRef>
          </c:cat>
          <c:val>
            <c:numRef>
              <c:f>Summary!$AM$241:$AM$252</c:f>
              <c:numCache>
                <c:formatCode>0</c:formatCode>
                <c:ptCount val="12"/>
                <c:pt idx="0">
                  <c:v>1732.6666666666667</c:v>
                </c:pt>
                <c:pt idx="1">
                  <c:v>1638</c:v>
                </c:pt>
                <c:pt idx="2">
                  <c:v>1833.6666666666667</c:v>
                </c:pt>
                <c:pt idx="3">
                  <c:v>1721.3333333333333</c:v>
                </c:pt>
                <c:pt idx="4">
                  <c:v>1933.6666666666667</c:v>
                </c:pt>
                <c:pt idx="5">
                  <c:v>1969</c:v>
                </c:pt>
                <c:pt idx="6">
                  <c:v>1790</c:v>
                </c:pt>
                <c:pt idx="7">
                  <c:v>1943.3333333333333</c:v>
                </c:pt>
                <c:pt idx="8">
                  <c:v>1744.6666666666667</c:v>
                </c:pt>
                <c:pt idx="9">
                  <c:v>1797.6666666666667</c:v>
                </c:pt>
                <c:pt idx="10">
                  <c:v>1833.3333333333333</c:v>
                </c:pt>
                <c:pt idx="11">
                  <c:v>1756.6666666666667</c:v>
                </c:pt>
              </c:numCache>
            </c:numRef>
          </c:val>
          <c:smooth val="0"/>
          <c:extLst>
            <c:ext xmlns:c16="http://schemas.microsoft.com/office/drawing/2014/chart" uri="{C3380CC4-5D6E-409C-BE32-E72D297353CC}">
              <c16:uniqueId val="{00000000-C2F0-4C64-BCB9-6FF5C1C93EC2}"/>
            </c:ext>
          </c:extLst>
        </c:ser>
        <c:ser>
          <c:idx val="3"/>
          <c:order val="1"/>
          <c:tx>
            <c:strRef>
              <c:f>Summary!$B$280</c:f>
              <c:strCache>
                <c:ptCount val="1"/>
                <c:pt idx="0">
                  <c:v>2019</c:v>
                </c:pt>
              </c:strCache>
            </c:strRef>
          </c:tx>
          <c:marker>
            <c:symbol val="none"/>
          </c:marker>
          <c:val>
            <c:numRef>
              <c:f>Summary!$E$280:$E$291</c:f>
              <c:numCache>
                <c:formatCode>General</c:formatCode>
                <c:ptCount val="12"/>
                <c:pt idx="0">
                  <c:v>1910</c:v>
                </c:pt>
                <c:pt idx="1">
                  <c:v>1683</c:v>
                </c:pt>
                <c:pt idx="2">
                  <c:v>1777</c:v>
                </c:pt>
                <c:pt idx="3">
                  <c:v>1928</c:v>
                </c:pt>
                <c:pt idx="4">
                  <c:v>2070</c:v>
                </c:pt>
                <c:pt idx="5">
                  <c:v>1943</c:v>
                </c:pt>
                <c:pt idx="6">
                  <c:v>2002</c:v>
                </c:pt>
                <c:pt idx="7">
                  <c:v>1953</c:v>
                </c:pt>
                <c:pt idx="8">
                  <c:v>1738</c:v>
                </c:pt>
                <c:pt idx="9">
                  <c:v>1875</c:v>
                </c:pt>
                <c:pt idx="10">
                  <c:v>1813</c:v>
                </c:pt>
                <c:pt idx="11">
                  <c:v>1834</c:v>
                </c:pt>
              </c:numCache>
            </c:numRef>
          </c:val>
          <c:smooth val="0"/>
          <c:extLst>
            <c:ext xmlns:c16="http://schemas.microsoft.com/office/drawing/2014/chart" uri="{C3380CC4-5D6E-409C-BE32-E72D297353CC}">
              <c16:uniqueId val="{00000001-C2F0-4C64-BCB9-6FF5C1C93EC2}"/>
            </c:ext>
          </c:extLst>
        </c:ser>
        <c:ser>
          <c:idx val="1"/>
          <c:order val="2"/>
          <c:tx>
            <c:strRef>
              <c:f>Summary!$AF$232</c:f>
              <c:strCache>
                <c:ptCount val="1"/>
                <c:pt idx="0">
                  <c:v>2020</c:v>
                </c:pt>
              </c:strCache>
            </c:strRef>
          </c:tx>
          <c:val>
            <c:numRef>
              <c:f>Summary!$E$292:$E$303</c:f>
              <c:numCache>
                <c:formatCode>General</c:formatCode>
                <c:ptCount val="12"/>
                <c:pt idx="0">
                  <c:v>1931</c:v>
                </c:pt>
                <c:pt idx="1">
                  <c:v>1775</c:v>
                </c:pt>
                <c:pt idx="2">
                  <c:v>2010</c:v>
                </c:pt>
                <c:pt idx="3">
                  <c:v>1459</c:v>
                </c:pt>
                <c:pt idx="4">
                  <c:v>1500</c:v>
                </c:pt>
                <c:pt idx="5">
                  <c:v>1969</c:v>
                </c:pt>
              </c:numCache>
            </c:numRef>
          </c:val>
          <c:smooth val="0"/>
          <c:extLst>
            <c:ext xmlns:c16="http://schemas.microsoft.com/office/drawing/2014/chart" uri="{C3380CC4-5D6E-409C-BE32-E72D297353CC}">
              <c16:uniqueId val="{00000002-C2F0-4C64-BCB9-6FF5C1C93EC2}"/>
            </c:ext>
          </c:extLst>
        </c:ser>
        <c:dLbls>
          <c:showLegendKey val="0"/>
          <c:showVal val="0"/>
          <c:showCatName val="0"/>
          <c:showSerName val="0"/>
          <c:showPercent val="0"/>
          <c:showBubbleSize val="0"/>
        </c:dLbls>
        <c:smooth val="0"/>
        <c:axId val="318782000"/>
        <c:axId val="318782560"/>
      </c:lineChart>
      <c:dateAx>
        <c:axId val="318782000"/>
        <c:scaling>
          <c:orientation val="minMax"/>
        </c:scaling>
        <c:delete val="0"/>
        <c:axPos val="b"/>
        <c:title>
          <c:tx>
            <c:rich>
              <a:bodyPr/>
              <a:lstStyle/>
              <a:p>
                <a:pPr>
                  <a:defRPr sz="1200" b="0" i="0" u="none" strike="noStrike" baseline="0">
                    <a:solidFill>
                      <a:srgbClr val="000000"/>
                    </a:solidFill>
                    <a:latin typeface="Calibri"/>
                    <a:ea typeface="Calibri"/>
                    <a:cs typeface="Calibri"/>
                  </a:defRPr>
                </a:pPr>
                <a:r>
                  <a:rPr lang="en-US"/>
                  <a:t>Month</a:t>
                </a:r>
              </a:p>
            </c:rich>
          </c:tx>
          <c:overlay val="0"/>
        </c:title>
        <c:numFmt formatCode="[$-409]mmmmm;@" sourceLinked="0"/>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318782560"/>
        <c:crosses val="autoZero"/>
        <c:auto val="1"/>
        <c:lblOffset val="100"/>
        <c:baseTimeUnit val="months"/>
      </c:dateAx>
      <c:valAx>
        <c:axId val="318782560"/>
        <c:scaling>
          <c:orientation val="minMax"/>
          <c:min val="1000"/>
        </c:scaling>
        <c:delete val="0"/>
        <c:axPos val="l"/>
        <c:title>
          <c:tx>
            <c:rich>
              <a:bodyPr/>
              <a:lstStyle/>
              <a:p>
                <a:pPr>
                  <a:defRPr sz="1200" b="0" i="0" u="none" strike="noStrike" baseline="0">
                    <a:solidFill>
                      <a:srgbClr val="000000"/>
                    </a:solidFill>
                    <a:latin typeface="Calibri"/>
                    <a:ea typeface="Calibri"/>
                    <a:cs typeface="Calibri"/>
                  </a:defRPr>
                </a:pPr>
                <a:r>
                  <a:rPr lang="en-US"/>
                  <a:t>1,000 head</a:t>
                </a:r>
              </a:p>
            </c:rich>
          </c:tx>
          <c:overlay val="0"/>
        </c:title>
        <c:numFmt formatCode="0"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318782000"/>
        <c:crosses val="autoZero"/>
        <c:crossBetween val="between"/>
      </c:valAx>
    </c:plotArea>
    <c:plotVisOnly val="1"/>
    <c:dispBlanksAs val="gap"/>
    <c:showDLblsOverMax val="0"/>
  </c:chart>
  <c:spPr>
    <a:ln>
      <a:noFill/>
    </a:ln>
  </c:spPr>
  <c:txPr>
    <a:bodyPr/>
    <a:lstStyle/>
    <a:p>
      <a:pPr>
        <a:defRPr sz="12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878273392117841"/>
          <c:y val="5.2742479364617102E-2"/>
          <c:w val="0.75789351004545091"/>
          <c:h val="0.75220822329026837"/>
        </c:manualLayout>
      </c:layout>
      <c:lineChart>
        <c:grouping val="standard"/>
        <c:varyColors val="0"/>
        <c:ser>
          <c:idx val="0"/>
          <c:order val="0"/>
          <c:tx>
            <c:strRef>
              <c:f>Summary!$AL$239</c:f>
              <c:strCache>
                <c:ptCount val="1"/>
                <c:pt idx="0">
                  <c:v>Avg. 2016-18</c:v>
                </c:pt>
              </c:strCache>
            </c:strRef>
          </c:tx>
          <c:spPr>
            <a:ln>
              <a:prstDash val="sysDash"/>
            </a:ln>
          </c:spPr>
          <c:marker>
            <c:symbol val="none"/>
          </c:marker>
          <c:cat>
            <c:numRef>
              <c:f>Summary!$A$160:$A$171</c:f>
              <c:numCache>
                <c:formatCode>mmm\-yy</c:formatCode>
                <c:ptCount val="12"/>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numCache>
            </c:numRef>
          </c:cat>
          <c:val>
            <c:numRef>
              <c:f>Summary!$AL$241:$AL$252</c:f>
              <c:numCache>
                <c:formatCode>0</c:formatCode>
                <c:ptCount val="12"/>
                <c:pt idx="0">
                  <c:v>10889.666666666666</c:v>
                </c:pt>
                <c:pt idx="1">
                  <c:v>11040.333333333334</c:v>
                </c:pt>
                <c:pt idx="2">
                  <c:v>11085.666666666666</c:v>
                </c:pt>
                <c:pt idx="3">
                  <c:v>11167</c:v>
                </c:pt>
                <c:pt idx="4">
                  <c:v>11113</c:v>
                </c:pt>
                <c:pt idx="5">
                  <c:v>11151</c:v>
                </c:pt>
                <c:pt idx="6">
                  <c:v>10821.333333333334</c:v>
                </c:pt>
                <c:pt idx="7">
                  <c:v>10620.666666666666</c:v>
                </c:pt>
                <c:pt idx="8">
                  <c:v>10588</c:v>
                </c:pt>
                <c:pt idx="9">
                  <c:v>10823</c:v>
                </c:pt>
                <c:pt idx="10">
                  <c:v>11229.666666666666</c:v>
                </c:pt>
                <c:pt idx="11">
                  <c:v>11302.333333333334</c:v>
                </c:pt>
              </c:numCache>
            </c:numRef>
          </c:val>
          <c:smooth val="0"/>
          <c:extLst>
            <c:ext xmlns:c16="http://schemas.microsoft.com/office/drawing/2014/chart" uri="{C3380CC4-5D6E-409C-BE32-E72D297353CC}">
              <c16:uniqueId val="{00000000-622B-4B6B-8DA9-2182BC4EE4DF}"/>
            </c:ext>
          </c:extLst>
        </c:ser>
        <c:ser>
          <c:idx val="3"/>
          <c:order val="1"/>
          <c:tx>
            <c:strRef>
              <c:f>Summary!$AF$231</c:f>
              <c:strCache>
                <c:ptCount val="1"/>
                <c:pt idx="0">
                  <c:v>2019</c:v>
                </c:pt>
              </c:strCache>
            </c:strRef>
          </c:tx>
          <c:marker>
            <c:symbol val="square"/>
            <c:size val="7"/>
          </c:marker>
          <c:val>
            <c:numRef>
              <c:f>Summary!$D$280:$D$291</c:f>
              <c:numCache>
                <c:formatCode>General</c:formatCode>
                <c:ptCount val="12"/>
                <c:pt idx="0">
                  <c:v>11690</c:v>
                </c:pt>
                <c:pt idx="1">
                  <c:v>11676</c:v>
                </c:pt>
                <c:pt idx="2">
                  <c:v>11785</c:v>
                </c:pt>
                <c:pt idx="3">
                  <c:v>11953</c:v>
                </c:pt>
                <c:pt idx="4">
                  <c:v>11807</c:v>
                </c:pt>
                <c:pt idx="5">
                  <c:v>11728</c:v>
                </c:pt>
                <c:pt idx="6">
                  <c:v>11480</c:v>
                </c:pt>
                <c:pt idx="7">
                  <c:v>11112</c:v>
                </c:pt>
                <c:pt idx="8">
                  <c:v>10982</c:v>
                </c:pt>
                <c:pt idx="9">
                  <c:v>11288</c:v>
                </c:pt>
                <c:pt idx="10">
                  <c:v>11816</c:v>
                </c:pt>
                <c:pt idx="11">
                  <c:v>12031</c:v>
                </c:pt>
              </c:numCache>
            </c:numRef>
          </c:val>
          <c:smooth val="0"/>
          <c:extLst>
            <c:ext xmlns:c16="http://schemas.microsoft.com/office/drawing/2014/chart" uri="{C3380CC4-5D6E-409C-BE32-E72D297353CC}">
              <c16:uniqueId val="{00000001-622B-4B6B-8DA9-2182BC4EE4DF}"/>
            </c:ext>
          </c:extLst>
        </c:ser>
        <c:ser>
          <c:idx val="2"/>
          <c:order val="2"/>
          <c:tx>
            <c:strRef>
              <c:f>Summary!$AF$232</c:f>
              <c:strCache>
                <c:ptCount val="1"/>
                <c:pt idx="0">
                  <c:v>2020</c:v>
                </c:pt>
              </c:strCache>
            </c:strRef>
          </c:tx>
          <c:spPr>
            <a:ln>
              <a:solidFill>
                <a:schemeClr val="accent2"/>
              </a:solidFill>
            </a:ln>
          </c:spPr>
          <c:marker>
            <c:spPr>
              <a:solidFill>
                <a:schemeClr val="accent2"/>
              </a:solidFill>
              <a:ln>
                <a:solidFill>
                  <a:schemeClr val="accent2"/>
                </a:solidFill>
              </a:ln>
            </c:spPr>
          </c:marker>
          <c:val>
            <c:numRef>
              <c:f>Summary!$D$292:$D$303</c:f>
              <c:numCache>
                <c:formatCode>General</c:formatCode>
                <c:ptCount val="12"/>
                <c:pt idx="0">
                  <c:v>11958</c:v>
                </c:pt>
                <c:pt idx="1">
                  <c:v>11928</c:v>
                </c:pt>
                <c:pt idx="2">
                  <c:v>11811</c:v>
                </c:pt>
                <c:pt idx="3">
                  <c:v>11297</c:v>
                </c:pt>
                <c:pt idx="4">
                  <c:v>11200</c:v>
                </c:pt>
                <c:pt idx="5">
                  <c:v>11671</c:v>
                </c:pt>
                <c:pt idx="6">
                  <c:v>11438</c:v>
                </c:pt>
              </c:numCache>
            </c:numRef>
          </c:val>
          <c:smooth val="0"/>
          <c:extLst>
            <c:ext xmlns:c16="http://schemas.microsoft.com/office/drawing/2014/chart" uri="{C3380CC4-5D6E-409C-BE32-E72D297353CC}">
              <c16:uniqueId val="{00000002-622B-4B6B-8DA9-2182BC4EE4DF}"/>
            </c:ext>
          </c:extLst>
        </c:ser>
        <c:dLbls>
          <c:showLegendKey val="0"/>
          <c:showVal val="0"/>
          <c:showCatName val="0"/>
          <c:showSerName val="0"/>
          <c:showPercent val="0"/>
          <c:showBubbleSize val="0"/>
        </c:dLbls>
        <c:smooth val="0"/>
        <c:axId val="319515040"/>
        <c:axId val="319515600"/>
      </c:lineChart>
      <c:dateAx>
        <c:axId val="319515040"/>
        <c:scaling>
          <c:orientation val="minMax"/>
        </c:scaling>
        <c:delete val="0"/>
        <c:axPos val="b"/>
        <c:title>
          <c:tx>
            <c:rich>
              <a:bodyPr/>
              <a:lstStyle/>
              <a:p>
                <a:pPr>
                  <a:defRPr sz="1200" b="0" i="0" u="none" strike="noStrike" baseline="0">
                    <a:solidFill>
                      <a:srgbClr val="000000"/>
                    </a:solidFill>
                    <a:latin typeface="Calibri"/>
                    <a:ea typeface="Calibri"/>
                    <a:cs typeface="Calibri"/>
                  </a:defRPr>
                </a:pPr>
                <a:r>
                  <a:rPr lang="en-US"/>
                  <a:t>Month</a:t>
                </a:r>
              </a:p>
            </c:rich>
          </c:tx>
          <c:overlay val="0"/>
        </c:title>
        <c:numFmt formatCode="[$-409]mmmmm;@" sourceLinked="0"/>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319515600"/>
        <c:crosses val="autoZero"/>
        <c:auto val="1"/>
        <c:lblOffset val="100"/>
        <c:baseTimeUnit val="months"/>
      </c:dateAx>
      <c:valAx>
        <c:axId val="319515600"/>
        <c:scaling>
          <c:orientation val="minMax"/>
          <c:min val="9000"/>
        </c:scaling>
        <c:delete val="0"/>
        <c:axPos val="l"/>
        <c:title>
          <c:tx>
            <c:rich>
              <a:bodyPr/>
              <a:lstStyle/>
              <a:p>
                <a:pPr>
                  <a:defRPr sz="1200" b="0" i="0" u="none" strike="noStrike" baseline="0">
                    <a:solidFill>
                      <a:srgbClr val="000000"/>
                    </a:solidFill>
                    <a:latin typeface="Calibri"/>
                    <a:ea typeface="Calibri"/>
                    <a:cs typeface="Calibri"/>
                  </a:defRPr>
                </a:pPr>
                <a:r>
                  <a:rPr lang="en-US"/>
                  <a:t>1,000 head</a:t>
                </a:r>
              </a:p>
            </c:rich>
          </c:tx>
          <c:overlay val="0"/>
        </c:title>
        <c:numFmt formatCode="0"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319515040"/>
        <c:crosses val="autoZero"/>
        <c:crossBetween val="between"/>
      </c:valAx>
    </c:plotArea>
    <c:plotVisOnly val="1"/>
    <c:dispBlanksAs val="gap"/>
    <c:showDLblsOverMax val="0"/>
  </c:chart>
  <c:spPr>
    <a:ln>
      <a:noFill/>
    </a:ln>
  </c:spPr>
  <c:txPr>
    <a:bodyPr/>
    <a:lstStyle/>
    <a:p>
      <a:pPr>
        <a:defRPr sz="12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8A8E3-F86B-F240-A8AD-8CEEFD7E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Anderson</dc:creator>
  <cp:keywords/>
  <dc:description/>
  <cp:lastModifiedBy>Microsoft Office User</cp:lastModifiedBy>
  <cp:revision>2</cp:revision>
  <dcterms:created xsi:type="dcterms:W3CDTF">2020-07-25T20:09:00Z</dcterms:created>
  <dcterms:modified xsi:type="dcterms:W3CDTF">2020-07-25T20:09:00Z</dcterms:modified>
</cp:coreProperties>
</file>