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49FE6" w14:textId="4E381E68" w:rsidR="006308E1" w:rsidRDefault="006308E1" w:rsidP="002F3C19">
      <w:pPr>
        <w:shd w:val="clear" w:color="auto" w:fill="FFFFFF"/>
        <w:spacing w:after="0" w:line="240" w:lineRule="auto"/>
        <w:jc w:val="center"/>
        <w:rPr>
          <w:rFonts w:ascii="Cambria" w:eastAsia="Times New Roman" w:hAnsi="Cambria" w:cs="Times New Roman"/>
          <w:b/>
        </w:rPr>
      </w:pPr>
      <w:r>
        <w:rPr>
          <w:rFonts w:ascii="Cambria" w:eastAsia="Times New Roman" w:hAnsi="Cambria" w:cs="Times New Roman"/>
          <w:b/>
          <w:noProof/>
        </w:rPr>
        <w:drawing>
          <wp:inline distT="0" distB="0" distL="0" distR="0" wp14:anchorId="59F365BB" wp14:editId="7DF67B4C">
            <wp:extent cx="2566421" cy="490729"/>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color-left_l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6421" cy="490729"/>
                    </a:xfrm>
                    <a:prstGeom prst="rect">
                      <a:avLst/>
                    </a:prstGeom>
                  </pic:spPr>
                </pic:pic>
              </a:graphicData>
            </a:graphic>
          </wp:inline>
        </w:drawing>
      </w:r>
    </w:p>
    <w:p w14:paraId="2331D70E" w14:textId="77777777" w:rsidR="006308E1" w:rsidRDefault="006308E1" w:rsidP="002F3C19">
      <w:pPr>
        <w:shd w:val="clear" w:color="auto" w:fill="FFFFFF"/>
        <w:spacing w:after="0" w:line="240" w:lineRule="auto"/>
        <w:jc w:val="center"/>
        <w:rPr>
          <w:rFonts w:ascii="Cambria" w:eastAsia="Times New Roman" w:hAnsi="Cambria" w:cs="Times New Roman"/>
          <w:b/>
        </w:rPr>
      </w:pPr>
    </w:p>
    <w:p w14:paraId="7CE8BFF7" w14:textId="77777777" w:rsidR="006308E1" w:rsidRDefault="006308E1" w:rsidP="002F3C19">
      <w:pPr>
        <w:shd w:val="clear" w:color="auto" w:fill="FFFFFF"/>
        <w:spacing w:after="0" w:line="240" w:lineRule="auto"/>
        <w:jc w:val="center"/>
        <w:rPr>
          <w:rFonts w:ascii="Cambria" w:eastAsia="Times New Roman" w:hAnsi="Cambria" w:cs="Times New Roman"/>
          <w:b/>
        </w:rPr>
      </w:pPr>
    </w:p>
    <w:p w14:paraId="5323FE43" w14:textId="77777777" w:rsidR="006308E1" w:rsidRDefault="006308E1" w:rsidP="002F3C19">
      <w:pPr>
        <w:shd w:val="clear" w:color="auto" w:fill="FFFFFF"/>
        <w:spacing w:after="0" w:line="240" w:lineRule="auto"/>
        <w:jc w:val="center"/>
        <w:rPr>
          <w:rFonts w:ascii="Cambria" w:eastAsia="Times New Roman" w:hAnsi="Cambria" w:cs="Times New Roman"/>
          <w:b/>
        </w:rPr>
      </w:pPr>
    </w:p>
    <w:p w14:paraId="331C22DC" w14:textId="77777777" w:rsidR="006308E1" w:rsidRDefault="006308E1" w:rsidP="002F3C19">
      <w:pPr>
        <w:shd w:val="clear" w:color="auto" w:fill="FFFFFF"/>
        <w:spacing w:after="0" w:line="240" w:lineRule="auto"/>
        <w:jc w:val="center"/>
        <w:rPr>
          <w:rFonts w:ascii="Cambria" w:eastAsia="Times New Roman" w:hAnsi="Cambria" w:cs="Times New Roman"/>
          <w:b/>
        </w:rPr>
      </w:pPr>
    </w:p>
    <w:p w14:paraId="0A3C9E14" w14:textId="77777777" w:rsidR="006308E1" w:rsidRDefault="006308E1" w:rsidP="002F3C19">
      <w:pPr>
        <w:shd w:val="clear" w:color="auto" w:fill="FFFFFF"/>
        <w:spacing w:after="0" w:line="240" w:lineRule="auto"/>
        <w:jc w:val="center"/>
        <w:rPr>
          <w:rFonts w:ascii="Cambria" w:eastAsia="Times New Roman" w:hAnsi="Cambria" w:cs="Times New Roman"/>
          <w:b/>
        </w:rPr>
      </w:pPr>
    </w:p>
    <w:p w14:paraId="70EB9E2B" w14:textId="77777777" w:rsidR="006308E1" w:rsidRDefault="006308E1" w:rsidP="002F3C19">
      <w:pPr>
        <w:shd w:val="clear" w:color="auto" w:fill="FFFFFF"/>
        <w:spacing w:after="0" w:line="240" w:lineRule="auto"/>
        <w:jc w:val="center"/>
        <w:rPr>
          <w:rFonts w:ascii="Cambria" w:eastAsia="Times New Roman" w:hAnsi="Cambria" w:cs="Times New Roman"/>
          <w:b/>
        </w:rPr>
      </w:pPr>
    </w:p>
    <w:p w14:paraId="2442E1A3" w14:textId="52891B5D" w:rsidR="002F3C19" w:rsidRPr="006308E1" w:rsidRDefault="002F3C19" w:rsidP="002F3C19">
      <w:pPr>
        <w:shd w:val="clear" w:color="auto" w:fill="FFFFFF"/>
        <w:spacing w:after="0" w:line="240" w:lineRule="auto"/>
        <w:jc w:val="center"/>
        <w:rPr>
          <w:rFonts w:ascii="Cambria" w:eastAsia="Times New Roman" w:hAnsi="Cambria" w:cs="Times New Roman"/>
          <w:b/>
        </w:rPr>
      </w:pPr>
      <w:r w:rsidRPr="006308E1">
        <w:rPr>
          <w:rFonts w:ascii="Cambria" w:eastAsia="Times New Roman" w:hAnsi="Cambria" w:cs="Times New Roman"/>
          <w:b/>
        </w:rPr>
        <w:t>COVID-19 Impacts on Arkansas’ Agricultural and Rural Economies</w:t>
      </w:r>
    </w:p>
    <w:p w14:paraId="34D6F00D"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p>
    <w:p w14:paraId="34C3E14A" w14:textId="77777777" w:rsidR="00FF0C3E" w:rsidRPr="006308E1" w:rsidRDefault="00FF0C3E" w:rsidP="002F3C19">
      <w:pPr>
        <w:shd w:val="clear" w:color="auto" w:fill="FFFFFF"/>
        <w:spacing w:after="0" w:line="240" w:lineRule="auto"/>
        <w:jc w:val="center"/>
        <w:rPr>
          <w:rFonts w:ascii="Cambria" w:eastAsia="Times New Roman" w:hAnsi="Cambria" w:cs="Times New Roman"/>
          <w:b/>
          <w:sz w:val="48"/>
          <w:szCs w:val="48"/>
        </w:rPr>
      </w:pPr>
    </w:p>
    <w:p w14:paraId="59A6A10F" w14:textId="77777777" w:rsidR="00104D2F" w:rsidRPr="006308E1" w:rsidRDefault="002F3C19" w:rsidP="002F3C19">
      <w:pPr>
        <w:shd w:val="clear" w:color="auto" w:fill="FFFFFF"/>
        <w:spacing w:after="0" w:line="240" w:lineRule="auto"/>
        <w:jc w:val="center"/>
        <w:rPr>
          <w:rFonts w:ascii="Cambria" w:eastAsia="Times New Roman" w:hAnsi="Cambria" w:cs="Times New Roman"/>
          <w:b/>
          <w:sz w:val="48"/>
          <w:szCs w:val="48"/>
        </w:rPr>
      </w:pPr>
      <w:r w:rsidRPr="006308E1">
        <w:rPr>
          <w:rFonts w:ascii="Cambria" w:eastAsia="Times New Roman" w:hAnsi="Cambria" w:cs="Times New Roman"/>
          <w:b/>
          <w:sz w:val="48"/>
          <w:szCs w:val="48"/>
        </w:rPr>
        <w:t xml:space="preserve">UPDATE: </w:t>
      </w:r>
    </w:p>
    <w:p w14:paraId="687D99BC" w14:textId="77777777" w:rsidR="00104D2F" w:rsidRPr="006308E1" w:rsidRDefault="00D77EAB" w:rsidP="002F3C19">
      <w:pPr>
        <w:shd w:val="clear" w:color="auto" w:fill="FFFFFF"/>
        <w:spacing w:after="0" w:line="240" w:lineRule="auto"/>
        <w:jc w:val="center"/>
        <w:rPr>
          <w:rFonts w:ascii="Cambria" w:eastAsia="Times New Roman" w:hAnsi="Cambria" w:cs="Times New Roman"/>
          <w:b/>
          <w:sz w:val="48"/>
          <w:szCs w:val="48"/>
        </w:rPr>
      </w:pPr>
      <w:r w:rsidRPr="006308E1">
        <w:rPr>
          <w:rFonts w:ascii="Cambria" w:eastAsia="Times New Roman" w:hAnsi="Cambria" w:cs="Times New Roman"/>
          <w:b/>
          <w:sz w:val="48"/>
          <w:szCs w:val="48"/>
        </w:rPr>
        <w:t xml:space="preserve">June </w:t>
      </w:r>
      <w:r w:rsidR="00104D2F" w:rsidRPr="006308E1">
        <w:rPr>
          <w:rFonts w:ascii="Cambria" w:eastAsia="Times New Roman" w:hAnsi="Cambria" w:cs="Times New Roman"/>
          <w:b/>
          <w:i/>
          <w:sz w:val="48"/>
          <w:szCs w:val="48"/>
        </w:rPr>
        <w:t>Cattle on Feed</w:t>
      </w:r>
      <w:r w:rsidRPr="006308E1">
        <w:rPr>
          <w:rFonts w:ascii="Cambria" w:eastAsia="Times New Roman" w:hAnsi="Cambria" w:cs="Times New Roman"/>
          <w:b/>
          <w:sz w:val="48"/>
          <w:szCs w:val="48"/>
        </w:rPr>
        <w:t xml:space="preserve"> Report and Implications for the Cattle Market</w:t>
      </w:r>
    </w:p>
    <w:p w14:paraId="357FA09B" w14:textId="77777777" w:rsidR="002F3C19" w:rsidRPr="006308E1" w:rsidRDefault="002F3C19" w:rsidP="002F3C19">
      <w:pPr>
        <w:shd w:val="clear" w:color="auto" w:fill="FFFFFF"/>
        <w:spacing w:after="0" w:line="240" w:lineRule="auto"/>
        <w:rPr>
          <w:rFonts w:ascii="Cambria" w:eastAsia="Times New Roman" w:hAnsi="Cambria" w:cs="Times New Roman"/>
          <w:b/>
        </w:rPr>
      </w:pPr>
    </w:p>
    <w:p w14:paraId="7C4135F1" w14:textId="77777777" w:rsidR="002F3C19" w:rsidRPr="006308E1" w:rsidRDefault="002F3C19" w:rsidP="002F3C19">
      <w:pPr>
        <w:shd w:val="clear" w:color="auto" w:fill="FFFFFF"/>
        <w:spacing w:after="0" w:line="240" w:lineRule="auto"/>
        <w:rPr>
          <w:rFonts w:ascii="Cambria" w:eastAsia="Times New Roman" w:hAnsi="Cambria" w:cs="Times New Roman"/>
          <w:b/>
        </w:rPr>
      </w:pPr>
    </w:p>
    <w:p w14:paraId="6CBF645F"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r w:rsidRPr="006308E1">
        <w:rPr>
          <w:rFonts w:ascii="Cambria" w:eastAsia="Times New Roman" w:hAnsi="Cambria" w:cs="Times New Roman"/>
          <w:b/>
        </w:rPr>
        <w:t>Prepared by:</w:t>
      </w:r>
    </w:p>
    <w:p w14:paraId="057A7A3D"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p>
    <w:p w14:paraId="46B03506"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p>
    <w:p w14:paraId="70EF103A"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r w:rsidRPr="006308E1">
        <w:rPr>
          <w:rFonts w:ascii="Cambria" w:eastAsia="Times New Roman" w:hAnsi="Cambria" w:cs="Times New Roman"/>
          <w:b/>
        </w:rPr>
        <w:t>John Anderson</w:t>
      </w:r>
    </w:p>
    <w:p w14:paraId="1E4E743D"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r w:rsidRPr="006308E1">
        <w:rPr>
          <w:rFonts w:ascii="Cambria" w:eastAsia="Times New Roman" w:hAnsi="Cambria" w:cs="Times New Roman"/>
          <w:b/>
        </w:rPr>
        <w:t xml:space="preserve">Department of Agricultural Economics and Agribusiness </w:t>
      </w:r>
    </w:p>
    <w:p w14:paraId="42CE02AE"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p>
    <w:p w14:paraId="7449A1BA"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p>
    <w:p w14:paraId="47CE5894"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p>
    <w:p w14:paraId="5228F0EB" w14:textId="77777777" w:rsidR="002F3C19" w:rsidRPr="006308E1" w:rsidRDefault="001F6AAC" w:rsidP="002F3C19">
      <w:pPr>
        <w:shd w:val="clear" w:color="auto" w:fill="FFFFFF"/>
        <w:spacing w:after="0" w:line="240" w:lineRule="auto"/>
        <w:jc w:val="center"/>
        <w:rPr>
          <w:rFonts w:ascii="Cambria" w:eastAsia="Times New Roman" w:hAnsi="Cambria" w:cs="Times New Roman"/>
          <w:b/>
        </w:rPr>
      </w:pPr>
      <w:r w:rsidRPr="006308E1">
        <w:rPr>
          <w:rFonts w:ascii="Cambria" w:eastAsia="Times New Roman" w:hAnsi="Cambria" w:cs="Times New Roman"/>
          <w:b/>
        </w:rPr>
        <w:t>June</w:t>
      </w:r>
      <w:r w:rsidR="007D1E45" w:rsidRPr="006308E1">
        <w:rPr>
          <w:rFonts w:ascii="Cambria" w:eastAsia="Times New Roman" w:hAnsi="Cambria" w:cs="Times New Roman"/>
          <w:b/>
        </w:rPr>
        <w:t xml:space="preserve"> </w:t>
      </w:r>
      <w:r w:rsidR="00E44BDB" w:rsidRPr="006308E1">
        <w:rPr>
          <w:rFonts w:ascii="Cambria" w:eastAsia="Times New Roman" w:hAnsi="Cambria" w:cs="Times New Roman"/>
          <w:b/>
        </w:rPr>
        <w:t>22</w:t>
      </w:r>
      <w:r w:rsidR="002F3C19" w:rsidRPr="006308E1">
        <w:rPr>
          <w:rFonts w:ascii="Cambria" w:eastAsia="Times New Roman" w:hAnsi="Cambria" w:cs="Times New Roman"/>
          <w:b/>
        </w:rPr>
        <w:t>, 2020</w:t>
      </w:r>
    </w:p>
    <w:p w14:paraId="07AF4855" w14:textId="77777777" w:rsidR="002F3C19" w:rsidRPr="006308E1" w:rsidRDefault="002F3C19" w:rsidP="002F3C19">
      <w:pPr>
        <w:shd w:val="clear" w:color="auto" w:fill="FFFFFF"/>
        <w:spacing w:after="0" w:line="240" w:lineRule="auto"/>
        <w:jc w:val="center"/>
        <w:rPr>
          <w:rFonts w:ascii="Cambria" w:eastAsia="Times New Roman" w:hAnsi="Cambria" w:cs="Times New Roman"/>
          <w:b/>
        </w:rPr>
      </w:pPr>
    </w:p>
    <w:p w14:paraId="6A769A00" w14:textId="77777777" w:rsidR="00B764A5" w:rsidRPr="006308E1" w:rsidRDefault="002F3C19" w:rsidP="00B764A5">
      <w:pPr>
        <w:rPr>
          <w:rFonts w:ascii="Cambria" w:hAnsi="Cambria"/>
        </w:rPr>
      </w:pPr>
      <w:r w:rsidRPr="006308E1">
        <w:rPr>
          <w:rFonts w:ascii="Cambria" w:hAnsi="Cambria"/>
        </w:rPr>
        <w:br w:type="page"/>
      </w:r>
    </w:p>
    <w:p w14:paraId="62FEE9E2" w14:textId="77777777" w:rsidR="00B16A62" w:rsidRPr="006308E1" w:rsidRDefault="001F6AAC" w:rsidP="00865D82">
      <w:pPr>
        <w:rPr>
          <w:rFonts w:ascii="Cambria" w:hAnsi="Cambria"/>
        </w:rPr>
      </w:pPr>
      <w:r w:rsidRPr="006308E1">
        <w:rPr>
          <w:rFonts w:ascii="Cambria" w:hAnsi="Cambria"/>
        </w:rPr>
        <w:lastRenderedPageBreak/>
        <w:t xml:space="preserve">In many respects, the cattle market has made great strides in getting back to something like pre-COVID normalcy.  For example, last week’s federally inspected cattle slaughter amounted to 656,000 head, down less than 2% from the same week a year ago.  Also, wholesale beef prices have retreated sharply from the record highs reached as a consequence of processing plant disruptions.  Last week, the Choice boxed beef cutout value averaged $220.34/hundredweight (cwt): </w:t>
      </w:r>
      <w:r w:rsidR="00B16A62" w:rsidRPr="006308E1">
        <w:rPr>
          <w:rFonts w:ascii="Cambria" w:hAnsi="Cambria"/>
        </w:rPr>
        <w:t xml:space="preserve">about even with its value a year ago.  </w:t>
      </w:r>
    </w:p>
    <w:p w14:paraId="685F74EA" w14:textId="77777777" w:rsidR="00D34782" w:rsidRPr="006308E1" w:rsidRDefault="00B16A62" w:rsidP="00865D82">
      <w:pPr>
        <w:rPr>
          <w:rFonts w:ascii="Cambria" w:hAnsi="Cambria"/>
        </w:rPr>
      </w:pPr>
      <w:r w:rsidRPr="006308E1">
        <w:rPr>
          <w:rFonts w:ascii="Cambria" w:hAnsi="Cambria"/>
        </w:rPr>
        <w:t xml:space="preserve">But despite these apparent signs of normalcy, the cattle market has been significantly disrupted by COVID-19; and for the industry as a whole, the effects of that disruption are not over.  A good place to look to see how profoundly the cattle industry has been affected by COVID-19 is at the monthly on-feed figures compiled by USDA National Agricultural Statistics Service (NASS).  </w:t>
      </w:r>
      <w:r w:rsidR="00D34782" w:rsidRPr="006308E1">
        <w:rPr>
          <w:rFonts w:ascii="Cambria" w:hAnsi="Cambria"/>
        </w:rPr>
        <w:t xml:space="preserve">On Friday, USDA released their latest </w:t>
      </w:r>
      <w:r w:rsidR="00D34782" w:rsidRPr="006308E1">
        <w:rPr>
          <w:rFonts w:ascii="Cambria" w:hAnsi="Cambria"/>
          <w:i/>
        </w:rPr>
        <w:t>Cattle on Feed</w:t>
      </w:r>
      <w:r w:rsidR="00D34782" w:rsidRPr="006308E1">
        <w:rPr>
          <w:rFonts w:ascii="Cambria" w:hAnsi="Cambria"/>
        </w:rPr>
        <w:t xml:space="preserve"> </w:t>
      </w:r>
      <w:r w:rsidR="00A90CA4" w:rsidRPr="006308E1">
        <w:rPr>
          <w:rFonts w:ascii="Cambria" w:hAnsi="Cambria"/>
        </w:rPr>
        <w:t>(</w:t>
      </w:r>
      <w:r w:rsidR="00A90CA4" w:rsidRPr="006308E1">
        <w:rPr>
          <w:rFonts w:ascii="Cambria" w:hAnsi="Cambria"/>
          <w:i/>
        </w:rPr>
        <w:t>COF</w:t>
      </w:r>
      <w:r w:rsidR="00A90CA4" w:rsidRPr="006308E1">
        <w:rPr>
          <w:rFonts w:ascii="Cambria" w:hAnsi="Cambria"/>
        </w:rPr>
        <w:t xml:space="preserve">) </w:t>
      </w:r>
      <w:r w:rsidR="00D34782" w:rsidRPr="006308E1">
        <w:rPr>
          <w:rFonts w:ascii="Cambria" w:hAnsi="Cambria"/>
        </w:rPr>
        <w:t xml:space="preserve">report.  Headline numbers in the report </w:t>
      </w:r>
      <w:r w:rsidRPr="006308E1">
        <w:rPr>
          <w:rFonts w:ascii="Cambria" w:hAnsi="Cambria"/>
        </w:rPr>
        <w:t>are summarized in Table 1</w:t>
      </w:r>
      <w:r w:rsidR="000B0DEC" w:rsidRPr="006308E1">
        <w:rPr>
          <w:rFonts w:ascii="Cambria" w:hAnsi="Cambria"/>
        </w:rPr>
        <w:t xml:space="preserve">.  </w:t>
      </w:r>
    </w:p>
    <w:p w14:paraId="311531D7" w14:textId="77777777" w:rsidR="000B0DEC" w:rsidRPr="006308E1" w:rsidRDefault="000B0DEC" w:rsidP="000B0DEC">
      <w:pPr>
        <w:jc w:val="both"/>
        <w:rPr>
          <w:rFonts w:ascii="Cambria" w:hAnsi="Cambria"/>
        </w:rPr>
      </w:pPr>
      <w:r w:rsidRPr="006308E1">
        <w:rPr>
          <w:rFonts w:ascii="Cambria" w:hAnsi="Cambria"/>
          <w:b/>
        </w:rPr>
        <w:t>Table 1.</w:t>
      </w:r>
      <w:r w:rsidRPr="006308E1">
        <w:rPr>
          <w:rFonts w:ascii="Cambria" w:hAnsi="Cambria"/>
        </w:rPr>
        <w:t xml:space="preserve">  </w:t>
      </w:r>
      <w:r w:rsidR="00B16A62" w:rsidRPr="006308E1">
        <w:rPr>
          <w:rFonts w:ascii="Cambria" w:hAnsi="Cambria"/>
        </w:rPr>
        <w:t>June</w:t>
      </w:r>
      <w:r w:rsidRPr="006308E1">
        <w:rPr>
          <w:rFonts w:ascii="Cambria" w:hAnsi="Cambria"/>
        </w:rPr>
        <w:t xml:space="preserve"> 2020 </w:t>
      </w:r>
      <w:r w:rsidRPr="006308E1">
        <w:rPr>
          <w:rFonts w:ascii="Cambria" w:hAnsi="Cambria"/>
          <w:i/>
        </w:rPr>
        <w:t>Cattle on Feed</w:t>
      </w:r>
      <w:r w:rsidRPr="006308E1">
        <w:rPr>
          <w:rFonts w:ascii="Cambria" w:hAnsi="Cambria"/>
        </w:rPr>
        <w:t xml:space="preserve"> Summary: Actual vs. Pre-Report Figures  </w:t>
      </w:r>
    </w:p>
    <w:tbl>
      <w:tblPr>
        <w:tblStyle w:val="TableGrid"/>
        <w:tblW w:w="8460" w:type="dxa"/>
        <w:tblLook w:val="04A0" w:firstRow="1" w:lastRow="0" w:firstColumn="1" w:lastColumn="0" w:noHBand="0" w:noVBand="1"/>
      </w:tblPr>
      <w:tblGrid>
        <w:gridCol w:w="2358"/>
        <w:gridCol w:w="1915"/>
        <w:gridCol w:w="1915"/>
        <w:gridCol w:w="2272"/>
      </w:tblGrid>
      <w:tr w:rsidR="000B0DEC" w:rsidRPr="006308E1" w14:paraId="07CC1D36" w14:textId="77777777" w:rsidTr="000B0DEC">
        <w:tc>
          <w:tcPr>
            <w:tcW w:w="2358" w:type="dxa"/>
            <w:tcBorders>
              <w:top w:val="single" w:sz="4" w:space="0" w:color="auto"/>
              <w:left w:val="nil"/>
              <w:bottom w:val="single" w:sz="4" w:space="0" w:color="000000" w:themeColor="text1"/>
              <w:right w:val="nil"/>
            </w:tcBorders>
          </w:tcPr>
          <w:p w14:paraId="1525D01D" w14:textId="77777777" w:rsidR="000B0DEC" w:rsidRPr="006308E1" w:rsidRDefault="000B0DEC" w:rsidP="004C3A11">
            <w:pPr>
              <w:jc w:val="both"/>
              <w:rPr>
                <w:rFonts w:ascii="Cambria" w:hAnsi="Cambria"/>
              </w:rPr>
            </w:pPr>
          </w:p>
        </w:tc>
        <w:tc>
          <w:tcPr>
            <w:tcW w:w="1915" w:type="dxa"/>
            <w:tcBorders>
              <w:top w:val="single" w:sz="4" w:space="0" w:color="auto"/>
              <w:left w:val="nil"/>
              <w:bottom w:val="single" w:sz="4" w:space="0" w:color="000000" w:themeColor="text1"/>
              <w:right w:val="nil"/>
            </w:tcBorders>
          </w:tcPr>
          <w:p w14:paraId="66AD9531" w14:textId="77777777" w:rsidR="000B0DEC" w:rsidRPr="006308E1" w:rsidRDefault="000B0DEC" w:rsidP="004C3A11">
            <w:pPr>
              <w:jc w:val="center"/>
              <w:rPr>
                <w:rFonts w:ascii="Cambria" w:hAnsi="Cambria"/>
              </w:rPr>
            </w:pPr>
            <w:r w:rsidRPr="006308E1">
              <w:rPr>
                <w:rFonts w:ascii="Cambria" w:hAnsi="Cambria"/>
              </w:rPr>
              <w:t>1,000 head</w:t>
            </w:r>
          </w:p>
        </w:tc>
        <w:tc>
          <w:tcPr>
            <w:tcW w:w="1915" w:type="dxa"/>
            <w:tcBorders>
              <w:top w:val="single" w:sz="4" w:space="0" w:color="auto"/>
              <w:left w:val="nil"/>
              <w:bottom w:val="single" w:sz="4" w:space="0" w:color="000000" w:themeColor="text1"/>
              <w:right w:val="nil"/>
            </w:tcBorders>
          </w:tcPr>
          <w:p w14:paraId="2C415C88" w14:textId="77777777" w:rsidR="000B0DEC" w:rsidRPr="006308E1" w:rsidRDefault="000B0DEC" w:rsidP="000B0DEC">
            <w:pPr>
              <w:rPr>
                <w:rFonts w:ascii="Cambria" w:hAnsi="Cambria"/>
              </w:rPr>
            </w:pPr>
            <w:r w:rsidRPr="006308E1">
              <w:rPr>
                <w:rFonts w:ascii="Cambria" w:hAnsi="Cambria"/>
              </w:rPr>
              <w:t>% of Prior Year</w:t>
            </w:r>
          </w:p>
        </w:tc>
        <w:tc>
          <w:tcPr>
            <w:tcW w:w="2272" w:type="dxa"/>
            <w:tcBorders>
              <w:top w:val="single" w:sz="4" w:space="0" w:color="auto"/>
              <w:left w:val="nil"/>
              <w:bottom w:val="single" w:sz="4" w:space="0" w:color="000000" w:themeColor="text1"/>
              <w:right w:val="nil"/>
            </w:tcBorders>
          </w:tcPr>
          <w:p w14:paraId="62879E2D" w14:textId="77777777" w:rsidR="000B0DEC" w:rsidRPr="006308E1" w:rsidRDefault="000B0DEC" w:rsidP="000B0DEC">
            <w:pPr>
              <w:rPr>
                <w:rFonts w:ascii="Cambria" w:hAnsi="Cambria"/>
              </w:rPr>
            </w:pPr>
            <w:r w:rsidRPr="006308E1">
              <w:rPr>
                <w:rFonts w:ascii="Cambria" w:hAnsi="Cambria"/>
              </w:rPr>
              <w:t>Pre-Report Estimates*</w:t>
            </w:r>
          </w:p>
        </w:tc>
      </w:tr>
      <w:tr w:rsidR="000B0DEC" w:rsidRPr="006308E1" w14:paraId="6DE77A86" w14:textId="77777777" w:rsidTr="000B0DEC">
        <w:tc>
          <w:tcPr>
            <w:tcW w:w="2358" w:type="dxa"/>
            <w:tcBorders>
              <w:left w:val="nil"/>
              <w:bottom w:val="nil"/>
              <w:right w:val="nil"/>
            </w:tcBorders>
          </w:tcPr>
          <w:p w14:paraId="3C895392" w14:textId="77777777" w:rsidR="000B0DEC" w:rsidRPr="006308E1" w:rsidRDefault="000B0DEC" w:rsidP="004C3A11">
            <w:pPr>
              <w:jc w:val="both"/>
              <w:rPr>
                <w:rFonts w:ascii="Cambria" w:hAnsi="Cambria"/>
              </w:rPr>
            </w:pPr>
            <w:r w:rsidRPr="006308E1">
              <w:rPr>
                <w:rFonts w:ascii="Cambria" w:hAnsi="Cambria"/>
              </w:rPr>
              <w:t xml:space="preserve">On Feed </w:t>
            </w:r>
            <w:r w:rsidR="00B16A62" w:rsidRPr="006308E1">
              <w:rPr>
                <w:rFonts w:ascii="Cambria" w:hAnsi="Cambria"/>
              </w:rPr>
              <w:t>June</w:t>
            </w:r>
            <w:r w:rsidRPr="006308E1">
              <w:rPr>
                <w:rFonts w:ascii="Cambria" w:hAnsi="Cambria"/>
              </w:rPr>
              <w:t xml:space="preserve"> 1</w:t>
            </w:r>
          </w:p>
        </w:tc>
        <w:tc>
          <w:tcPr>
            <w:tcW w:w="1915" w:type="dxa"/>
            <w:tcBorders>
              <w:left w:val="nil"/>
              <w:bottom w:val="nil"/>
              <w:right w:val="nil"/>
            </w:tcBorders>
          </w:tcPr>
          <w:p w14:paraId="7B57CF4B" w14:textId="77777777" w:rsidR="000B0DEC" w:rsidRPr="006308E1" w:rsidRDefault="000B0DEC" w:rsidP="004C3A11">
            <w:pPr>
              <w:jc w:val="center"/>
              <w:rPr>
                <w:rFonts w:ascii="Cambria" w:hAnsi="Cambria"/>
              </w:rPr>
            </w:pPr>
            <w:r w:rsidRPr="006308E1">
              <w:rPr>
                <w:rFonts w:ascii="Cambria" w:hAnsi="Cambria"/>
              </w:rPr>
              <w:t>11,</w:t>
            </w:r>
            <w:r w:rsidR="00B16A62" w:rsidRPr="006308E1">
              <w:rPr>
                <w:rFonts w:ascii="Cambria" w:hAnsi="Cambria"/>
              </w:rPr>
              <w:t>671</w:t>
            </w:r>
          </w:p>
        </w:tc>
        <w:tc>
          <w:tcPr>
            <w:tcW w:w="1915" w:type="dxa"/>
            <w:tcBorders>
              <w:left w:val="nil"/>
              <w:bottom w:val="nil"/>
              <w:right w:val="nil"/>
            </w:tcBorders>
          </w:tcPr>
          <w:p w14:paraId="72B8667B" w14:textId="77777777" w:rsidR="000B0DEC" w:rsidRPr="006308E1" w:rsidRDefault="00B16A62" w:rsidP="004C3A11">
            <w:pPr>
              <w:tabs>
                <w:tab w:val="decimal" w:pos="940"/>
              </w:tabs>
              <w:jc w:val="both"/>
              <w:rPr>
                <w:rFonts w:ascii="Cambria" w:hAnsi="Cambria"/>
              </w:rPr>
            </w:pPr>
            <w:r w:rsidRPr="006308E1">
              <w:rPr>
                <w:rFonts w:ascii="Cambria" w:hAnsi="Cambria"/>
              </w:rPr>
              <w:t>99.5</w:t>
            </w:r>
          </w:p>
        </w:tc>
        <w:tc>
          <w:tcPr>
            <w:tcW w:w="2272" w:type="dxa"/>
            <w:tcBorders>
              <w:left w:val="nil"/>
              <w:bottom w:val="nil"/>
              <w:right w:val="nil"/>
            </w:tcBorders>
          </w:tcPr>
          <w:p w14:paraId="27406ECD" w14:textId="77777777" w:rsidR="000B0DEC" w:rsidRPr="006308E1" w:rsidRDefault="00B16A62" w:rsidP="004C3A11">
            <w:pPr>
              <w:tabs>
                <w:tab w:val="decimal" w:pos="915"/>
              </w:tabs>
              <w:jc w:val="both"/>
              <w:rPr>
                <w:rFonts w:ascii="Cambria" w:hAnsi="Cambria"/>
              </w:rPr>
            </w:pPr>
            <w:r w:rsidRPr="006308E1">
              <w:rPr>
                <w:rFonts w:ascii="Cambria" w:hAnsi="Cambria"/>
              </w:rPr>
              <w:t>99.7</w:t>
            </w:r>
          </w:p>
        </w:tc>
      </w:tr>
      <w:tr w:rsidR="000B0DEC" w:rsidRPr="006308E1" w14:paraId="184870B1" w14:textId="77777777" w:rsidTr="000B0DEC">
        <w:tc>
          <w:tcPr>
            <w:tcW w:w="2358" w:type="dxa"/>
            <w:tcBorders>
              <w:top w:val="nil"/>
              <w:left w:val="nil"/>
              <w:bottom w:val="nil"/>
              <w:right w:val="nil"/>
            </w:tcBorders>
          </w:tcPr>
          <w:p w14:paraId="64544E87" w14:textId="77777777" w:rsidR="000B0DEC" w:rsidRPr="006308E1" w:rsidRDefault="00B16A62" w:rsidP="004C3A11">
            <w:pPr>
              <w:jc w:val="both"/>
              <w:rPr>
                <w:rFonts w:ascii="Cambria" w:hAnsi="Cambria"/>
              </w:rPr>
            </w:pPr>
            <w:r w:rsidRPr="006308E1">
              <w:rPr>
                <w:rFonts w:ascii="Cambria" w:hAnsi="Cambria"/>
              </w:rPr>
              <w:t>May</w:t>
            </w:r>
            <w:r w:rsidR="000B0DEC" w:rsidRPr="006308E1">
              <w:rPr>
                <w:rFonts w:ascii="Cambria" w:hAnsi="Cambria"/>
              </w:rPr>
              <w:t xml:space="preserve"> Placements</w:t>
            </w:r>
          </w:p>
        </w:tc>
        <w:tc>
          <w:tcPr>
            <w:tcW w:w="1915" w:type="dxa"/>
            <w:tcBorders>
              <w:top w:val="nil"/>
              <w:left w:val="nil"/>
              <w:bottom w:val="nil"/>
              <w:right w:val="nil"/>
            </w:tcBorders>
          </w:tcPr>
          <w:p w14:paraId="115587F5" w14:textId="77777777" w:rsidR="000B0DEC" w:rsidRPr="006308E1" w:rsidRDefault="00B16A62" w:rsidP="004C3A11">
            <w:pPr>
              <w:jc w:val="center"/>
              <w:rPr>
                <w:rFonts w:ascii="Cambria" w:hAnsi="Cambria"/>
              </w:rPr>
            </w:pPr>
            <w:r w:rsidRPr="006308E1">
              <w:rPr>
                <w:rFonts w:ascii="Cambria" w:hAnsi="Cambria"/>
              </w:rPr>
              <w:t>2,037</w:t>
            </w:r>
          </w:p>
        </w:tc>
        <w:tc>
          <w:tcPr>
            <w:tcW w:w="1915" w:type="dxa"/>
            <w:tcBorders>
              <w:top w:val="nil"/>
              <w:left w:val="nil"/>
              <w:bottom w:val="nil"/>
              <w:right w:val="nil"/>
            </w:tcBorders>
          </w:tcPr>
          <w:p w14:paraId="194D7F99" w14:textId="77777777" w:rsidR="000B0DEC" w:rsidRPr="006308E1" w:rsidRDefault="00B16A62" w:rsidP="004C3A11">
            <w:pPr>
              <w:tabs>
                <w:tab w:val="decimal" w:pos="940"/>
              </w:tabs>
              <w:jc w:val="both"/>
              <w:rPr>
                <w:rFonts w:ascii="Cambria" w:hAnsi="Cambria"/>
              </w:rPr>
            </w:pPr>
            <w:r w:rsidRPr="006308E1">
              <w:rPr>
                <w:rFonts w:ascii="Cambria" w:hAnsi="Cambria"/>
              </w:rPr>
              <w:t>98.7</w:t>
            </w:r>
          </w:p>
        </w:tc>
        <w:tc>
          <w:tcPr>
            <w:tcW w:w="2272" w:type="dxa"/>
            <w:tcBorders>
              <w:top w:val="nil"/>
              <w:left w:val="nil"/>
              <w:bottom w:val="nil"/>
              <w:right w:val="nil"/>
            </w:tcBorders>
          </w:tcPr>
          <w:p w14:paraId="4D24CFE5" w14:textId="77777777" w:rsidR="000B0DEC" w:rsidRPr="006308E1" w:rsidRDefault="00A90CA4" w:rsidP="004C3A11">
            <w:pPr>
              <w:tabs>
                <w:tab w:val="decimal" w:pos="915"/>
              </w:tabs>
              <w:jc w:val="both"/>
              <w:rPr>
                <w:rFonts w:ascii="Cambria" w:hAnsi="Cambria"/>
              </w:rPr>
            </w:pPr>
            <w:r w:rsidRPr="006308E1">
              <w:rPr>
                <w:rFonts w:ascii="Cambria" w:hAnsi="Cambria"/>
              </w:rPr>
              <w:t>101</w:t>
            </w:r>
            <w:r w:rsidR="000F0C30" w:rsidRPr="006308E1">
              <w:rPr>
                <w:rFonts w:ascii="Cambria" w:hAnsi="Cambria"/>
              </w:rPr>
              <w:t>.3</w:t>
            </w:r>
          </w:p>
        </w:tc>
      </w:tr>
      <w:tr w:rsidR="000B0DEC" w:rsidRPr="006308E1" w14:paraId="5A4FF61D" w14:textId="77777777" w:rsidTr="000B0DEC">
        <w:trPr>
          <w:trHeight w:val="252"/>
        </w:trPr>
        <w:tc>
          <w:tcPr>
            <w:tcW w:w="2358" w:type="dxa"/>
            <w:tcBorders>
              <w:top w:val="nil"/>
              <w:left w:val="nil"/>
              <w:bottom w:val="single" w:sz="4" w:space="0" w:color="auto"/>
              <w:right w:val="nil"/>
            </w:tcBorders>
          </w:tcPr>
          <w:p w14:paraId="2E17EA61" w14:textId="77777777" w:rsidR="000B0DEC" w:rsidRPr="006308E1" w:rsidRDefault="00B16A62" w:rsidP="004C3A11">
            <w:pPr>
              <w:jc w:val="both"/>
              <w:rPr>
                <w:rFonts w:ascii="Cambria" w:hAnsi="Cambria"/>
              </w:rPr>
            </w:pPr>
            <w:r w:rsidRPr="006308E1">
              <w:rPr>
                <w:rFonts w:ascii="Cambria" w:hAnsi="Cambria"/>
              </w:rPr>
              <w:t>May</w:t>
            </w:r>
            <w:r w:rsidR="000B0DEC" w:rsidRPr="006308E1">
              <w:rPr>
                <w:rFonts w:ascii="Cambria" w:hAnsi="Cambria"/>
              </w:rPr>
              <w:t xml:space="preserve"> Marketings</w:t>
            </w:r>
          </w:p>
        </w:tc>
        <w:tc>
          <w:tcPr>
            <w:tcW w:w="1915" w:type="dxa"/>
            <w:tcBorders>
              <w:top w:val="nil"/>
              <w:left w:val="nil"/>
              <w:bottom w:val="single" w:sz="4" w:space="0" w:color="auto"/>
              <w:right w:val="nil"/>
            </w:tcBorders>
          </w:tcPr>
          <w:p w14:paraId="668747EE" w14:textId="77777777" w:rsidR="000B0DEC" w:rsidRPr="006308E1" w:rsidRDefault="000B0DEC" w:rsidP="004C3A11">
            <w:pPr>
              <w:jc w:val="center"/>
              <w:rPr>
                <w:rFonts w:ascii="Cambria" w:hAnsi="Cambria"/>
              </w:rPr>
            </w:pPr>
            <w:r w:rsidRPr="006308E1">
              <w:rPr>
                <w:rFonts w:ascii="Cambria" w:hAnsi="Cambria"/>
              </w:rPr>
              <w:t>1,</w:t>
            </w:r>
            <w:r w:rsidR="00B16A62" w:rsidRPr="006308E1">
              <w:rPr>
                <w:rFonts w:ascii="Cambria" w:hAnsi="Cambria"/>
              </w:rPr>
              <w:t>500</w:t>
            </w:r>
          </w:p>
        </w:tc>
        <w:tc>
          <w:tcPr>
            <w:tcW w:w="1915" w:type="dxa"/>
            <w:tcBorders>
              <w:top w:val="nil"/>
              <w:left w:val="nil"/>
              <w:bottom w:val="single" w:sz="4" w:space="0" w:color="auto"/>
              <w:right w:val="nil"/>
            </w:tcBorders>
          </w:tcPr>
          <w:p w14:paraId="6EDF543E" w14:textId="77777777" w:rsidR="000B0DEC" w:rsidRPr="006308E1" w:rsidRDefault="000B0DEC" w:rsidP="004C3A11">
            <w:pPr>
              <w:tabs>
                <w:tab w:val="decimal" w:pos="940"/>
              </w:tabs>
              <w:jc w:val="both"/>
              <w:rPr>
                <w:rFonts w:ascii="Cambria" w:hAnsi="Cambria"/>
              </w:rPr>
            </w:pPr>
            <w:r w:rsidRPr="006308E1">
              <w:rPr>
                <w:rFonts w:ascii="Cambria" w:hAnsi="Cambria"/>
              </w:rPr>
              <w:t>7</w:t>
            </w:r>
            <w:r w:rsidR="00B16A62" w:rsidRPr="006308E1">
              <w:rPr>
                <w:rFonts w:ascii="Cambria" w:hAnsi="Cambria"/>
              </w:rPr>
              <w:t>2.5</w:t>
            </w:r>
          </w:p>
        </w:tc>
        <w:tc>
          <w:tcPr>
            <w:tcW w:w="2272" w:type="dxa"/>
            <w:tcBorders>
              <w:top w:val="nil"/>
              <w:left w:val="nil"/>
              <w:bottom w:val="single" w:sz="4" w:space="0" w:color="auto"/>
              <w:right w:val="nil"/>
            </w:tcBorders>
          </w:tcPr>
          <w:p w14:paraId="08AFC61D" w14:textId="77777777" w:rsidR="000B0DEC" w:rsidRPr="006308E1" w:rsidRDefault="00A90CA4" w:rsidP="004C3A11">
            <w:pPr>
              <w:tabs>
                <w:tab w:val="decimal" w:pos="915"/>
              </w:tabs>
              <w:jc w:val="both"/>
              <w:rPr>
                <w:rFonts w:ascii="Cambria" w:hAnsi="Cambria"/>
              </w:rPr>
            </w:pPr>
            <w:r w:rsidRPr="006308E1">
              <w:rPr>
                <w:rFonts w:ascii="Cambria" w:hAnsi="Cambria"/>
              </w:rPr>
              <w:t>73.2</w:t>
            </w:r>
          </w:p>
        </w:tc>
      </w:tr>
      <w:tr w:rsidR="000B0DEC" w:rsidRPr="006308E1" w14:paraId="7B238DE9" w14:textId="77777777" w:rsidTr="000B0DEC">
        <w:trPr>
          <w:trHeight w:val="360"/>
        </w:trPr>
        <w:tc>
          <w:tcPr>
            <w:tcW w:w="8460" w:type="dxa"/>
            <w:gridSpan w:val="4"/>
            <w:tcBorders>
              <w:top w:val="single" w:sz="4" w:space="0" w:color="auto"/>
              <w:left w:val="nil"/>
              <w:bottom w:val="nil"/>
              <w:right w:val="nil"/>
            </w:tcBorders>
            <w:vAlign w:val="bottom"/>
          </w:tcPr>
          <w:p w14:paraId="48A19D7D" w14:textId="77777777" w:rsidR="000B0DEC" w:rsidRPr="006308E1" w:rsidRDefault="000B0DEC" w:rsidP="000B0DEC">
            <w:pPr>
              <w:rPr>
                <w:rFonts w:ascii="Cambria" w:hAnsi="Cambria"/>
              </w:rPr>
            </w:pPr>
            <w:r w:rsidRPr="006308E1">
              <w:rPr>
                <w:rFonts w:ascii="Cambria" w:hAnsi="Cambria"/>
              </w:rPr>
              <w:t>*Source: Livestock Marketing Information Center.</w:t>
            </w:r>
          </w:p>
        </w:tc>
      </w:tr>
    </w:tbl>
    <w:p w14:paraId="1E082B1E" w14:textId="77777777" w:rsidR="000B0DEC" w:rsidRPr="006308E1" w:rsidRDefault="000B0DEC" w:rsidP="00605F21">
      <w:pPr>
        <w:spacing w:after="0"/>
        <w:rPr>
          <w:rFonts w:ascii="Cambria" w:hAnsi="Cambria"/>
        </w:rPr>
      </w:pPr>
    </w:p>
    <w:p w14:paraId="3A6AE0F6" w14:textId="77777777" w:rsidR="000F0C30" w:rsidRPr="006308E1" w:rsidRDefault="00A90CA4" w:rsidP="000B0DEC">
      <w:pPr>
        <w:rPr>
          <w:rFonts w:ascii="Cambria" w:hAnsi="Cambria"/>
        </w:rPr>
      </w:pPr>
      <w:r w:rsidRPr="006308E1">
        <w:rPr>
          <w:rFonts w:ascii="Cambria" w:hAnsi="Cambria"/>
        </w:rPr>
        <w:t>May placements are worth digging into a bit</w:t>
      </w:r>
      <w:r w:rsidR="00814CF2" w:rsidRPr="006308E1">
        <w:rPr>
          <w:rFonts w:ascii="Cambria" w:hAnsi="Cambria"/>
        </w:rPr>
        <w:t xml:space="preserve"> (</w:t>
      </w:r>
      <w:r w:rsidR="00814CF2" w:rsidRPr="006308E1">
        <w:rPr>
          <w:rFonts w:ascii="Cambria" w:hAnsi="Cambria"/>
          <w:b/>
          <w:i/>
        </w:rPr>
        <w:t>see figure 1</w:t>
      </w:r>
      <w:r w:rsidR="00814CF2" w:rsidRPr="006308E1">
        <w:rPr>
          <w:rFonts w:ascii="Cambria" w:hAnsi="Cambria"/>
        </w:rPr>
        <w:t>)</w:t>
      </w:r>
      <w:r w:rsidRPr="006308E1">
        <w:rPr>
          <w:rFonts w:ascii="Cambria" w:hAnsi="Cambria"/>
        </w:rPr>
        <w:t xml:space="preserve">.  The number of cattle placed into feedlots in May was about 1% below last May (and a little smaller than pre-report expectations).  Still, this represents a dramatic recovery from </w:t>
      </w:r>
      <w:r w:rsidR="00D50EE0" w:rsidRPr="006308E1">
        <w:rPr>
          <w:rFonts w:ascii="Cambria" w:hAnsi="Cambria"/>
        </w:rPr>
        <w:t xml:space="preserve">both March and </w:t>
      </w:r>
      <w:r w:rsidRPr="006308E1">
        <w:rPr>
          <w:rFonts w:ascii="Cambria" w:hAnsi="Cambria"/>
        </w:rPr>
        <w:t xml:space="preserve">April placements, which were </w:t>
      </w:r>
      <w:r w:rsidR="00B52A8A" w:rsidRPr="006308E1">
        <w:rPr>
          <w:rFonts w:ascii="Cambria" w:hAnsi="Cambria"/>
        </w:rPr>
        <w:t>both over 20% below</w:t>
      </w:r>
      <w:r w:rsidRPr="006308E1">
        <w:rPr>
          <w:rFonts w:ascii="Cambria" w:hAnsi="Cambria"/>
        </w:rPr>
        <w:t xml:space="preserve"> the prior year</w:t>
      </w:r>
      <w:r w:rsidR="000F0C30" w:rsidRPr="006308E1">
        <w:rPr>
          <w:rFonts w:ascii="Cambria" w:hAnsi="Cambria"/>
        </w:rPr>
        <w:t>.</w:t>
      </w:r>
      <w:r w:rsidRPr="006308E1">
        <w:rPr>
          <w:rFonts w:ascii="Cambria" w:hAnsi="Cambria"/>
        </w:rPr>
        <w:t xml:space="preserve">  </w:t>
      </w:r>
      <w:r w:rsidR="00B52A8A" w:rsidRPr="006308E1">
        <w:rPr>
          <w:rFonts w:ascii="Cambria" w:hAnsi="Cambria"/>
        </w:rPr>
        <w:t xml:space="preserve">At some point, placements in heavier weight categories will likely increase beyond normal as calves that were held back in March and April make their way into feedlots.  That has not happened yet, though.  In </w:t>
      </w:r>
      <w:r w:rsidR="00D45849" w:rsidRPr="006308E1">
        <w:rPr>
          <w:rFonts w:ascii="Cambria" w:hAnsi="Cambria"/>
        </w:rPr>
        <w:t>May</w:t>
      </w:r>
      <w:r w:rsidR="00B52A8A" w:rsidRPr="006308E1">
        <w:rPr>
          <w:rFonts w:ascii="Cambria" w:hAnsi="Cambria"/>
        </w:rPr>
        <w:t xml:space="preserve">, placements in the under-600-pound category were up by 1.4% year-over year; but </w:t>
      </w:r>
      <w:r w:rsidR="00D45849" w:rsidRPr="006308E1">
        <w:rPr>
          <w:rFonts w:ascii="Cambria" w:hAnsi="Cambria"/>
        </w:rPr>
        <w:t>placements in all other weight categories were steady to lower than the prior year.</w:t>
      </w:r>
    </w:p>
    <w:p w14:paraId="314506A6" w14:textId="77777777" w:rsidR="00D45849" w:rsidRPr="006308E1" w:rsidRDefault="00D45849" w:rsidP="000B0DEC">
      <w:pPr>
        <w:rPr>
          <w:rFonts w:ascii="Cambria" w:hAnsi="Cambria"/>
        </w:rPr>
      </w:pPr>
      <w:r w:rsidRPr="006308E1">
        <w:rPr>
          <w:rFonts w:ascii="Cambria" w:hAnsi="Cambria"/>
        </w:rPr>
        <w:t>By contrast with placements, fed cattle marketings in May remained well below the level of the prior year</w:t>
      </w:r>
      <w:r w:rsidR="00A64EC6" w:rsidRPr="006308E1">
        <w:rPr>
          <w:rFonts w:ascii="Cambria" w:hAnsi="Cambria"/>
        </w:rPr>
        <w:t xml:space="preserve"> (</w:t>
      </w:r>
      <w:r w:rsidR="00A64EC6" w:rsidRPr="006308E1">
        <w:rPr>
          <w:rFonts w:ascii="Cambria" w:hAnsi="Cambria"/>
          <w:b/>
          <w:i/>
        </w:rPr>
        <w:t>see figure 2</w:t>
      </w:r>
      <w:r w:rsidR="00A64EC6" w:rsidRPr="006308E1">
        <w:rPr>
          <w:rFonts w:ascii="Cambria" w:hAnsi="Cambria"/>
        </w:rPr>
        <w:t>)</w:t>
      </w:r>
      <w:r w:rsidRPr="006308E1">
        <w:rPr>
          <w:rFonts w:ascii="Cambria" w:hAnsi="Cambria"/>
        </w:rPr>
        <w:t xml:space="preserve">.  To be specific, </w:t>
      </w:r>
      <w:proofErr w:type="gramStart"/>
      <w:r w:rsidRPr="006308E1">
        <w:rPr>
          <w:rFonts w:ascii="Cambria" w:hAnsi="Cambria"/>
        </w:rPr>
        <w:t>May</w:t>
      </w:r>
      <w:proofErr w:type="gramEnd"/>
      <w:r w:rsidRPr="006308E1">
        <w:rPr>
          <w:rFonts w:ascii="Cambria" w:hAnsi="Cambria"/>
        </w:rPr>
        <w:t xml:space="preserve"> fed cattle marketings were down 28% compared to 2019, representing the smallest marketing figure for May in this COF series, which goes back to 2016.  </w:t>
      </w:r>
    </w:p>
    <w:p w14:paraId="401CDA82" w14:textId="77777777" w:rsidR="00D45849" w:rsidRPr="006308E1" w:rsidRDefault="00D45849" w:rsidP="000B0DEC">
      <w:pPr>
        <w:rPr>
          <w:rFonts w:ascii="Cambria" w:hAnsi="Cambria"/>
        </w:rPr>
      </w:pPr>
      <w:r w:rsidRPr="006308E1">
        <w:rPr>
          <w:rFonts w:ascii="Cambria" w:hAnsi="Cambria"/>
        </w:rPr>
        <w:t>The net effect of higher placements and continued sluggish marketings was a rather substantial increase in the total inventory of cattle on feed</w:t>
      </w:r>
      <w:r w:rsidR="00A64EC6" w:rsidRPr="006308E1">
        <w:rPr>
          <w:rFonts w:ascii="Cambria" w:hAnsi="Cambria"/>
        </w:rPr>
        <w:t xml:space="preserve"> (</w:t>
      </w:r>
      <w:r w:rsidR="00A64EC6" w:rsidRPr="006308E1">
        <w:rPr>
          <w:rFonts w:ascii="Cambria" w:hAnsi="Cambria"/>
          <w:b/>
          <w:i/>
        </w:rPr>
        <w:t>see figure 3</w:t>
      </w:r>
      <w:r w:rsidR="00A64EC6" w:rsidRPr="006308E1">
        <w:rPr>
          <w:rFonts w:ascii="Cambria" w:hAnsi="Cambria"/>
        </w:rPr>
        <w:t>)</w:t>
      </w:r>
      <w:r w:rsidRPr="006308E1">
        <w:rPr>
          <w:rFonts w:ascii="Cambria" w:hAnsi="Cambria"/>
        </w:rPr>
        <w:t xml:space="preserve">.  The May 1 on-feed inventory was 5% below the prior year.  The large spread between May placements and marketings has led to a counter-seasonal increase in the on-feed inventory so that it is now just about even with the 2019 level.  </w:t>
      </w:r>
    </w:p>
    <w:p w14:paraId="2DF77CA7" w14:textId="77777777" w:rsidR="00D45849" w:rsidRPr="006308E1" w:rsidRDefault="00D45849" w:rsidP="000B0DEC">
      <w:pPr>
        <w:rPr>
          <w:rFonts w:ascii="Cambria" w:hAnsi="Cambria"/>
        </w:rPr>
      </w:pPr>
      <w:r w:rsidRPr="006308E1">
        <w:rPr>
          <w:rFonts w:ascii="Cambria" w:hAnsi="Cambria"/>
        </w:rPr>
        <w:t xml:space="preserve">The fact that the on-feed inventory now closely matches the year-ago level should not be interpreted as a return to normal.  With relatively fewer cattle being moved out of feedlots than are being moved in to feedlots, the proportion of the total on-feed inventory represented by market-ready cattle has grown.  The number of cattle that have been on feed for </w:t>
      </w:r>
      <w:r w:rsidR="008E0C87" w:rsidRPr="006308E1">
        <w:rPr>
          <w:rFonts w:ascii="Cambria" w:hAnsi="Cambria"/>
        </w:rPr>
        <w:t xml:space="preserve">at least </w:t>
      </w:r>
      <w:r w:rsidRPr="006308E1">
        <w:rPr>
          <w:rFonts w:ascii="Cambria" w:hAnsi="Cambria"/>
        </w:rPr>
        <w:t>1</w:t>
      </w:r>
      <w:r w:rsidR="008E0C87" w:rsidRPr="006308E1">
        <w:rPr>
          <w:rFonts w:ascii="Cambria" w:hAnsi="Cambria"/>
        </w:rPr>
        <w:t>2</w:t>
      </w:r>
      <w:r w:rsidRPr="006308E1">
        <w:rPr>
          <w:rFonts w:ascii="Cambria" w:hAnsi="Cambria"/>
        </w:rPr>
        <w:t xml:space="preserve">0 days can be approximated by taking the on-feed inventory in a given month and subtracting </w:t>
      </w:r>
      <w:r w:rsidR="008E0C87" w:rsidRPr="006308E1">
        <w:rPr>
          <w:rFonts w:ascii="Cambria" w:hAnsi="Cambria"/>
        </w:rPr>
        <w:t xml:space="preserve">the last four months of net placements (placements minus other disappearance).  For the current year, that </w:t>
      </w:r>
      <w:r w:rsidR="008E0C87" w:rsidRPr="006308E1">
        <w:rPr>
          <w:rFonts w:ascii="Cambria" w:hAnsi="Cambria"/>
        </w:rPr>
        <w:lastRenderedPageBreak/>
        <w:t>number was tracking closely with 2019 through April 1.  Since that time, though, it has surged sharply higher as fed cattle marketings have fallen in response to reduced processing capacity.  For June 1, the number of cattle on feed for 120 days or more was 23% higher than a year ago</w:t>
      </w:r>
      <w:r w:rsidR="00C35D0F" w:rsidRPr="006308E1">
        <w:rPr>
          <w:rFonts w:ascii="Cambria" w:hAnsi="Cambria"/>
        </w:rPr>
        <w:t xml:space="preserve"> (</w:t>
      </w:r>
      <w:r w:rsidR="00C35D0F" w:rsidRPr="006308E1">
        <w:rPr>
          <w:rFonts w:ascii="Cambria" w:hAnsi="Cambria"/>
          <w:b/>
          <w:i/>
        </w:rPr>
        <w:t>see figure 4</w:t>
      </w:r>
      <w:r w:rsidR="00C35D0F" w:rsidRPr="006308E1">
        <w:rPr>
          <w:rFonts w:ascii="Cambria" w:hAnsi="Cambria"/>
        </w:rPr>
        <w:t>)</w:t>
      </w:r>
      <w:r w:rsidR="008E0C87" w:rsidRPr="006308E1">
        <w:rPr>
          <w:rFonts w:ascii="Cambria" w:hAnsi="Cambria"/>
        </w:rPr>
        <w:t xml:space="preserve">.   </w:t>
      </w:r>
    </w:p>
    <w:p w14:paraId="0A75DAD4" w14:textId="77777777" w:rsidR="008E0C87" w:rsidRPr="006308E1" w:rsidRDefault="008E0C87" w:rsidP="000B0DEC">
      <w:pPr>
        <w:rPr>
          <w:rFonts w:ascii="Cambria" w:hAnsi="Cambria"/>
        </w:rPr>
      </w:pPr>
      <w:r w:rsidRPr="006308E1">
        <w:rPr>
          <w:rFonts w:ascii="Cambria" w:hAnsi="Cambria"/>
        </w:rPr>
        <w:t xml:space="preserve">Another way to assess these front-end supplies in the fed cattle market is with reference to fed cattle dressed weights.  An over-abundance of market ready fed cattle typically shows up as an increase in dressed weights, as delays in marketing required to work through an over supply lead to </w:t>
      </w:r>
      <w:r w:rsidR="00814CF2" w:rsidRPr="006308E1">
        <w:rPr>
          <w:rFonts w:ascii="Cambria" w:hAnsi="Cambria"/>
        </w:rPr>
        <w:t>heavier final weights.  For the first week of June (most recent data available), the average steer dressed weight was 892 pounds:  5.4% (or about 45 pounds) higher than a year ago</w:t>
      </w:r>
      <w:r w:rsidR="00C35D0F" w:rsidRPr="006308E1">
        <w:rPr>
          <w:rFonts w:ascii="Cambria" w:hAnsi="Cambria"/>
        </w:rPr>
        <w:t xml:space="preserve"> (</w:t>
      </w:r>
      <w:r w:rsidR="00C35D0F" w:rsidRPr="006308E1">
        <w:rPr>
          <w:rFonts w:ascii="Cambria" w:hAnsi="Cambria"/>
          <w:b/>
          <w:i/>
        </w:rPr>
        <w:t>see figure 5</w:t>
      </w:r>
      <w:r w:rsidR="00C35D0F" w:rsidRPr="006308E1">
        <w:rPr>
          <w:rFonts w:ascii="Cambria" w:hAnsi="Cambria"/>
        </w:rPr>
        <w:t>)</w:t>
      </w:r>
      <w:r w:rsidR="00814CF2" w:rsidRPr="006308E1">
        <w:rPr>
          <w:rFonts w:ascii="Cambria" w:hAnsi="Cambria"/>
        </w:rPr>
        <w:t xml:space="preserve">.  </w:t>
      </w:r>
    </w:p>
    <w:p w14:paraId="6658A76B" w14:textId="77777777" w:rsidR="00E35AED" w:rsidRPr="006308E1" w:rsidRDefault="008E0C87" w:rsidP="000B0DEC">
      <w:pPr>
        <w:rPr>
          <w:rFonts w:ascii="Cambria" w:hAnsi="Cambria"/>
        </w:rPr>
      </w:pPr>
      <w:r w:rsidRPr="006308E1">
        <w:rPr>
          <w:rFonts w:ascii="Cambria" w:hAnsi="Cambria"/>
        </w:rPr>
        <w:t>The large supply of market-ready cattle facing a significantly constrained capacity for handling that supply represents a real challenge for the cattle market.  This situation creates strong downward pressure on fed cattle prices that, in turn, tends to depress feeder and stocker markets as well.</w:t>
      </w:r>
      <w:r w:rsidR="00226C97" w:rsidRPr="006308E1">
        <w:rPr>
          <w:rFonts w:ascii="Cambria" w:hAnsi="Cambria"/>
        </w:rPr>
        <w:t xml:space="preserve">  Last week, cash fed cattle prices fell by</w:t>
      </w:r>
      <w:r w:rsidR="00E35AED" w:rsidRPr="006308E1">
        <w:rPr>
          <w:rFonts w:ascii="Cambria" w:hAnsi="Cambria"/>
        </w:rPr>
        <w:t xml:space="preserve"> almost $4/cwt, the fourth straight week of decline after rallying from initial COVID-19 losses (</w:t>
      </w:r>
      <w:r w:rsidR="00E35AED" w:rsidRPr="006308E1">
        <w:rPr>
          <w:rFonts w:ascii="Cambria" w:hAnsi="Cambria"/>
          <w:b/>
          <w:i/>
        </w:rPr>
        <w:t>see figure 6</w:t>
      </w:r>
      <w:r w:rsidR="00E35AED" w:rsidRPr="006308E1">
        <w:rPr>
          <w:rFonts w:ascii="Cambria" w:hAnsi="Cambria"/>
        </w:rPr>
        <w:t>).  That rally put fed cattle prices at about even with 2019 prices, which is where the market started the year.  A seasonal decline from that point would not have been unusual – falling fed cattle price in the summer is one of the most reliable seasonal phenomena in an agricultural market; but the pace of decline over the past three or four weeks suggests that normal seasonal forces are being compounded considerably by the large front-end supplie</w:t>
      </w:r>
      <w:r w:rsidR="00D77EAB" w:rsidRPr="006308E1">
        <w:rPr>
          <w:rFonts w:ascii="Cambria" w:hAnsi="Cambria"/>
        </w:rPr>
        <w:t xml:space="preserve">s </w:t>
      </w:r>
      <w:r w:rsidR="00E35AED" w:rsidRPr="006308E1">
        <w:rPr>
          <w:rFonts w:ascii="Cambria" w:hAnsi="Cambria"/>
        </w:rPr>
        <w:t xml:space="preserve">that have developed as a result of earlier processing plant disruptions.  </w:t>
      </w:r>
      <w:r w:rsidR="00D77EAB" w:rsidRPr="006308E1">
        <w:rPr>
          <w:rFonts w:ascii="Cambria" w:hAnsi="Cambria"/>
        </w:rPr>
        <w:t>This backlog of market ready cattle, and the pace at which it can be worked through the system, will likely be the biggest factors influencing cattle prices for the rest of the year.</w:t>
      </w:r>
    </w:p>
    <w:p w14:paraId="721B9ABF" w14:textId="77777777" w:rsidR="008E0C87" w:rsidRPr="006308E1" w:rsidRDefault="00E35AED" w:rsidP="000B0DEC">
      <w:pPr>
        <w:rPr>
          <w:rFonts w:ascii="Cambria" w:hAnsi="Cambria"/>
        </w:rPr>
      </w:pPr>
      <w:r w:rsidRPr="006308E1">
        <w:rPr>
          <w:rFonts w:ascii="Cambria" w:hAnsi="Cambria"/>
        </w:rPr>
        <w:t xml:space="preserve">  </w:t>
      </w:r>
      <w:r w:rsidR="008E0C87" w:rsidRPr="006308E1">
        <w:rPr>
          <w:rFonts w:ascii="Cambria" w:hAnsi="Cambria"/>
        </w:rPr>
        <w:t xml:space="preserve">  </w:t>
      </w:r>
    </w:p>
    <w:p w14:paraId="280C7A4A" w14:textId="77777777" w:rsidR="000F0C30" w:rsidRPr="006308E1" w:rsidRDefault="00A64EC6" w:rsidP="000B0DEC">
      <w:pPr>
        <w:rPr>
          <w:rFonts w:ascii="Cambria" w:hAnsi="Cambria"/>
        </w:rPr>
      </w:pPr>
      <w:r w:rsidRPr="006308E1">
        <w:rPr>
          <w:rFonts w:ascii="Cambria" w:hAnsi="Cambria"/>
          <w:noProof/>
        </w:rPr>
        <w:drawing>
          <wp:inline distT="0" distB="0" distL="0" distR="0" wp14:anchorId="1ED76657" wp14:editId="462D0BD1">
            <wp:extent cx="5943600" cy="3345815"/>
            <wp:effectExtent l="0" t="0" r="0" b="6985"/>
            <wp:docPr id="1" name="Chart 1">
              <a:extLst xmlns:a="http://schemas.openxmlformats.org/drawingml/2006/main">
                <a:ext uri="{FF2B5EF4-FFF2-40B4-BE49-F238E27FC236}">
                  <a16:creationId xmlns:a16="http://schemas.microsoft.com/office/drawing/2014/main" id="{70800ED6-D505-47EE-BB86-2CBE7274C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1BC27C0" w14:textId="77777777" w:rsidR="000F0C30" w:rsidRPr="006308E1" w:rsidRDefault="000F0C30" w:rsidP="000F0C30">
      <w:pPr>
        <w:spacing w:after="0"/>
        <w:rPr>
          <w:rFonts w:ascii="Cambria" w:hAnsi="Cambria"/>
        </w:rPr>
      </w:pPr>
      <w:r w:rsidRPr="006308E1">
        <w:rPr>
          <w:rFonts w:ascii="Cambria" w:hAnsi="Cambria"/>
        </w:rPr>
        <w:t>Data Source: USDA National Agricultural Statistics Service through Livestock Marketing Information Center.</w:t>
      </w:r>
    </w:p>
    <w:p w14:paraId="2A4DB370" w14:textId="77777777" w:rsidR="000F0C30" w:rsidRPr="006308E1" w:rsidRDefault="000F0C30" w:rsidP="000B0DEC">
      <w:pPr>
        <w:rPr>
          <w:rFonts w:ascii="Cambria" w:hAnsi="Cambria"/>
        </w:rPr>
      </w:pPr>
      <w:r w:rsidRPr="006308E1">
        <w:rPr>
          <w:rFonts w:ascii="Cambria" w:hAnsi="Cambria"/>
          <w:b/>
        </w:rPr>
        <w:lastRenderedPageBreak/>
        <w:t xml:space="preserve">Figure </w:t>
      </w:r>
      <w:r w:rsidR="00814CF2" w:rsidRPr="006308E1">
        <w:rPr>
          <w:rFonts w:ascii="Cambria" w:hAnsi="Cambria"/>
          <w:b/>
        </w:rPr>
        <w:t>1</w:t>
      </w:r>
      <w:r w:rsidRPr="006308E1">
        <w:rPr>
          <w:rFonts w:ascii="Cambria" w:hAnsi="Cambria"/>
          <w:b/>
        </w:rPr>
        <w:t>.</w:t>
      </w:r>
      <w:r w:rsidRPr="006308E1">
        <w:rPr>
          <w:rFonts w:ascii="Cambria" w:hAnsi="Cambria"/>
        </w:rPr>
        <w:t xml:space="preserve">  </w:t>
      </w:r>
      <w:r w:rsidR="00814CF2" w:rsidRPr="006308E1">
        <w:rPr>
          <w:rFonts w:ascii="Cambria" w:hAnsi="Cambria"/>
        </w:rPr>
        <w:t>Number of Cattle Placed into Feedlots (1,000+ head Capacity)</w:t>
      </w:r>
      <w:r w:rsidR="00A64EC6" w:rsidRPr="006308E1">
        <w:rPr>
          <w:rFonts w:ascii="Cambria" w:hAnsi="Cambria"/>
        </w:rPr>
        <w:t>: Monthly</w:t>
      </w:r>
    </w:p>
    <w:p w14:paraId="01E99C7F" w14:textId="77777777" w:rsidR="00A64EC6" w:rsidRPr="006308E1" w:rsidRDefault="00A64EC6" w:rsidP="000B0DEC">
      <w:pPr>
        <w:rPr>
          <w:rFonts w:ascii="Cambria" w:hAnsi="Cambria"/>
        </w:rPr>
      </w:pPr>
    </w:p>
    <w:p w14:paraId="7A255F38" w14:textId="77777777" w:rsidR="00A64EC6" w:rsidRPr="006308E1" w:rsidRDefault="00A64EC6" w:rsidP="000B0DEC">
      <w:pPr>
        <w:rPr>
          <w:rFonts w:ascii="Cambria" w:hAnsi="Cambria"/>
        </w:rPr>
      </w:pPr>
      <w:r w:rsidRPr="006308E1">
        <w:rPr>
          <w:rFonts w:ascii="Cambria" w:hAnsi="Cambria"/>
          <w:noProof/>
        </w:rPr>
        <w:drawing>
          <wp:inline distT="0" distB="0" distL="0" distR="0" wp14:anchorId="342458B5" wp14:editId="54F227F5">
            <wp:extent cx="5943600" cy="3352800"/>
            <wp:effectExtent l="0" t="0" r="0" b="0"/>
            <wp:docPr id="2" name="Chart 2">
              <a:extLst xmlns:a="http://schemas.openxmlformats.org/drawingml/2006/main">
                <a:ext uri="{FF2B5EF4-FFF2-40B4-BE49-F238E27FC236}">
                  <a16:creationId xmlns:a16="http://schemas.microsoft.com/office/drawing/2014/main" id="{DCAEF187-9D63-4CAB-A9C6-B174CCF6C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C2D233" w14:textId="77777777" w:rsidR="00A64EC6" w:rsidRPr="006308E1" w:rsidRDefault="00A64EC6" w:rsidP="00A64EC6">
      <w:pPr>
        <w:spacing w:after="0"/>
        <w:rPr>
          <w:rFonts w:ascii="Cambria" w:hAnsi="Cambria"/>
        </w:rPr>
      </w:pPr>
      <w:bookmarkStart w:id="0" w:name="_Hlk43719854"/>
      <w:r w:rsidRPr="006308E1">
        <w:rPr>
          <w:rFonts w:ascii="Cambria" w:hAnsi="Cambria"/>
        </w:rPr>
        <w:t>Data Source: USDA National Agricultural Statistics Service through Livestock Marketing Information Center.</w:t>
      </w:r>
    </w:p>
    <w:p w14:paraId="7B069377" w14:textId="77777777" w:rsidR="00A64EC6" w:rsidRPr="006308E1" w:rsidRDefault="00A64EC6" w:rsidP="00A64EC6">
      <w:pPr>
        <w:rPr>
          <w:rFonts w:ascii="Cambria" w:hAnsi="Cambria"/>
        </w:rPr>
      </w:pPr>
      <w:r w:rsidRPr="006308E1">
        <w:rPr>
          <w:rFonts w:ascii="Cambria" w:hAnsi="Cambria"/>
          <w:b/>
        </w:rPr>
        <w:t>Figure 2.</w:t>
      </w:r>
      <w:r w:rsidRPr="006308E1">
        <w:rPr>
          <w:rFonts w:ascii="Cambria" w:hAnsi="Cambria"/>
        </w:rPr>
        <w:t xml:space="preserve">  Number of Cattle Marketing by Feedlots (1,000+ head Capacity): Monthly</w:t>
      </w:r>
    </w:p>
    <w:bookmarkEnd w:id="0"/>
    <w:p w14:paraId="46542B20" w14:textId="77777777" w:rsidR="00A64EC6" w:rsidRPr="006308E1" w:rsidRDefault="00A64EC6" w:rsidP="00A64EC6">
      <w:pPr>
        <w:rPr>
          <w:rFonts w:ascii="Cambria" w:hAnsi="Cambria"/>
        </w:rPr>
      </w:pPr>
    </w:p>
    <w:p w14:paraId="26073DDF" w14:textId="77777777" w:rsidR="00A64EC6" w:rsidRPr="006308E1" w:rsidRDefault="00A64EC6" w:rsidP="00A64EC6">
      <w:pPr>
        <w:rPr>
          <w:rFonts w:ascii="Cambria" w:hAnsi="Cambria"/>
        </w:rPr>
      </w:pPr>
      <w:r w:rsidRPr="006308E1">
        <w:rPr>
          <w:rFonts w:ascii="Cambria" w:hAnsi="Cambria"/>
          <w:noProof/>
        </w:rPr>
        <w:lastRenderedPageBreak/>
        <w:drawing>
          <wp:inline distT="0" distB="0" distL="0" distR="0" wp14:anchorId="030C8F99" wp14:editId="19FA3049">
            <wp:extent cx="5943600" cy="3361055"/>
            <wp:effectExtent l="0" t="0" r="0" b="0"/>
            <wp:docPr id="4" name="Chart 4">
              <a:extLst xmlns:a="http://schemas.openxmlformats.org/drawingml/2006/main">
                <a:ext uri="{FF2B5EF4-FFF2-40B4-BE49-F238E27FC236}">
                  <a16:creationId xmlns:a16="http://schemas.microsoft.com/office/drawing/2014/main" id="{04304C41-4A72-498E-A9F0-CB85201975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DD6648" w14:textId="77777777" w:rsidR="00A64EC6" w:rsidRPr="006308E1" w:rsidRDefault="00A64EC6" w:rsidP="00A64EC6">
      <w:pPr>
        <w:spacing w:after="0"/>
        <w:rPr>
          <w:rFonts w:ascii="Cambria" w:hAnsi="Cambria"/>
        </w:rPr>
      </w:pPr>
      <w:r w:rsidRPr="006308E1">
        <w:rPr>
          <w:rFonts w:ascii="Cambria" w:hAnsi="Cambria"/>
        </w:rPr>
        <w:t>Data Source: USDA National Agricultural Statistics Service through Livestock Marketing Information Center.</w:t>
      </w:r>
    </w:p>
    <w:p w14:paraId="0EA9C2EF" w14:textId="77777777" w:rsidR="00A64EC6" w:rsidRPr="006308E1" w:rsidRDefault="00A64EC6" w:rsidP="00A64EC6">
      <w:pPr>
        <w:rPr>
          <w:rFonts w:ascii="Cambria" w:hAnsi="Cambria"/>
        </w:rPr>
      </w:pPr>
      <w:r w:rsidRPr="006308E1">
        <w:rPr>
          <w:rFonts w:ascii="Cambria" w:hAnsi="Cambria"/>
          <w:b/>
        </w:rPr>
        <w:t>Figure 3.</w:t>
      </w:r>
      <w:r w:rsidRPr="006308E1">
        <w:rPr>
          <w:rFonts w:ascii="Cambria" w:hAnsi="Cambria"/>
        </w:rPr>
        <w:t xml:space="preserve">  Inventory of Cattle in Feedlots (1,000+ head Capacity): Monthly</w:t>
      </w:r>
    </w:p>
    <w:p w14:paraId="21A7F828" w14:textId="77777777" w:rsidR="00C35D0F" w:rsidRPr="006308E1" w:rsidRDefault="00C35D0F" w:rsidP="00A64EC6">
      <w:pPr>
        <w:rPr>
          <w:rFonts w:ascii="Cambria" w:hAnsi="Cambria"/>
        </w:rPr>
      </w:pPr>
      <w:r w:rsidRPr="006308E1">
        <w:rPr>
          <w:rFonts w:ascii="Cambria" w:hAnsi="Cambria"/>
          <w:noProof/>
        </w:rPr>
        <w:drawing>
          <wp:inline distT="0" distB="0" distL="0" distR="0" wp14:anchorId="66CB4AF3" wp14:editId="512AF215">
            <wp:extent cx="5514975" cy="3543300"/>
            <wp:effectExtent l="0" t="0" r="0" b="0"/>
            <wp:docPr id="6" name="Chart 6">
              <a:extLst xmlns:a="http://schemas.openxmlformats.org/drawingml/2006/main">
                <a:ext uri="{FF2B5EF4-FFF2-40B4-BE49-F238E27FC236}">
                  <a16:creationId xmlns:a16="http://schemas.microsoft.com/office/drawing/2014/main" id="{00000000-0008-0000-0100-0000A4970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E7EC40" w14:textId="77777777" w:rsidR="00C35D0F" w:rsidRPr="006308E1" w:rsidRDefault="00C35D0F" w:rsidP="00C35D0F">
      <w:pPr>
        <w:spacing w:after="0"/>
        <w:rPr>
          <w:rFonts w:ascii="Cambria" w:hAnsi="Cambria"/>
        </w:rPr>
      </w:pPr>
      <w:r w:rsidRPr="006308E1">
        <w:rPr>
          <w:rFonts w:ascii="Cambria" w:hAnsi="Cambria"/>
        </w:rPr>
        <w:t>Data Source: USDA National Agricultural Statistics Service through Livestock Marketing Information Center.</w:t>
      </w:r>
    </w:p>
    <w:p w14:paraId="335F254C" w14:textId="77777777" w:rsidR="00C35D0F" w:rsidRPr="006308E1" w:rsidRDefault="00C35D0F" w:rsidP="00C35D0F">
      <w:pPr>
        <w:rPr>
          <w:rFonts w:ascii="Cambria" w:hAnsi="Cambria"/>
        </w:rPr>
      </w:pPr>
      <w:r w:rsidRPr="006308E1">
        <w:rPr>
          <w:rFonts w:ascii="Cambria" w:hAnsi="Cambria"/>
          <w:b/>
        </w:rPr>
        <w:lastRenderedPageBreak/>
        <w:t>Figure 4.</w:t>
      </w:r>
      <w:r w:rsidRPr="006308E1">
        <w:rPr>
          <w:rFonts w:ascii="Cambria" w:hAnsi="Cambria"/>
        </w:rPr>
        <w:t xml:space="preserve">  Estimated Inventory of Cattle in Feedlots (1,000+ head Capacity) over 120 Days on Feed: Monthly</w:t>
      </w:r>
    </w:p>
    <w:p w14:paraId="6426AA7A" w14:textId="77777777" w:rsidR="00C35D0F" w:rsidRPr="006308E1" w:rsidRDefault="00C35D0F" w:rsidP="00A64EC6">
      <w:pPr>
        <w:rPr>
          <w:rFonts w:ascii="Cambria" w:hAnsi="Cambria"/>
        </w:rPr>
      </w:pPr>
    </w:p>
    <w:p w14:paraId="3A66EA4E" w14:textId="77777777" w:rsidR="00A64EC6" w:rsidRPr="006308E1" w:rsidRDefault="00A64EC6" w:rsidP="00A64EC6">
      <w:pPr>
        <w:rPr>
          <w:rFonts w:ascii="Cambria" w:hAnsi="Cambria"/>
        </w:rPr>
      </w:pPr>
      <w:r w:rsidRPr="006308E1">
        <w:rPr>
          <w:rFonts w:ascii="Cambria" w:hAnsi="Cambria"/>
          <w:noProof/>
        </w:rPr>
        <w:drawing>
          <wp:inline distT="0" distB="0" distL="0" distR="0" wp14:anchorId="2F1B0F82" wp14:editId="3C2EAD77">
            <wp:extent cx="5648325" cy="3028950"/>
            <wp:effectExtent l="0" t="0" r="0" b="0"/>
            <wp:docPr id="5" name="Chart 5">
              <a:extLst xmlns:a="http://schemas.openxmlformats.org/drawingml/2006/main">
                <a:ext uri="{FF2B5EF4-FFF2-40B4-BE49-F238E27FC236}">
                  <a16:creationId xmlns:a16="http://schemas.microsoft.com/office/drawing/2014/main" id="{0F3CEDF0-FB35-43D0-A117-2E15D4684E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377FF7" w14:textId="77777777" w:rsidR="00A64EC6" w:rsidRPr="006308E1" w:rsidRDefault="00A64EC6" w:rsidP="00A64EC6">
      <w:pPr>
        <w:spacing w:after="0"/>
        <w:rPr>
          <w:rFonts w:ascii="Cambria" w:hAnsi="Cambria"/>
        </w:rPr>
      </w:pPr>
      <w:r w:rsidRPr="006308E1">
        <w:rPr>
          <w:rFonts w:ascii="Cambria" w:hAnsi="Cambria"/>
        </w:rPr>
        <w:t xml:space="preserve">Data Source: USDA Agricultural </w:t>
      </w:r>
      <w:r w:rsidR="00C35D0F" w:rsidRPr="006308E1">
        <w:rPr>
          <w:rFonts w:ascii="Cambria" w:hAnsi="Cambria"/>
        </w:rPr>
        <w:t>Marketing</w:t>
      </w:r>
      <w:r w:rsidRPr="006308E1">
        <w:rPr>
          <w:rFonts w:ascii="Cambria" w:hAnsi="Cambria"/>
        </w:rPr>
        <w:t xml:space="preserve"> Service through Livestock Marketing Information Center.</w:t>
      </w:r>
    </w:p>
    <w:p w14:paraId="0134E11B" w14:textId="77777777" w:rsidR="00A64EC6" w:rsidRPr="006308E1" w:rsidRDefault="00A64EC6" w:rsidP="00A64EC6">
      <w:pPr>
        <w:rPr>
          <w:rFonts w:ascii="Cambria" w:hAnsi="Cambria"/>
        </w:rPr>
      </w:pPr>
      <w:r w:rsidRPr="006308E1">
        <w:rPr>
          <w:rFonts w:ascii="Cambria" w:hAnsi="Cambria"/>
          <w:b/>
        </w:rPr>
        <w:t xml:space="preserve">Figure </w:t>
      </w:r>
      <w:r w:rsidR="00C35D0F" w:rsidRPr="006308E1">
        <w:rPr>
          <w:rFonts w:ascii="Cambria" w:hAnsi="Cambria"/>
          <w:b/>
        </w:rPr>
        <w:t>5</w:t>
      </w:r>
      <w:r w:rsidRPr="006308E1">
        <w:rPr>
          <w:rFonts w:ascii="Cambria" w:hAnsi="Cambria"/>
          <w:b/>
        </w:rPr>
        <w:t>.</w:t>
      </w:r>
      <w:r w:rsidRPr="006308E1">
        <w:rPr>
          <w:rFonts w:ascii="Cambria" w:hAnsi="Cambria"/>
        </w:rPr>
        <w:t xml:space="preserve">  Weekly Average Steer Dressed Weight</w:t>
      </w:r>
    </w:p>
    <w:p w14:paraId="64AC6907" w14:textId="77777777" w:rsidR="00A64EC6" w:rsidRPr="006308E1" w:rsidRDefault="00C35D0F" w:rsidP="00A64EC6">
      <w:pPr>
        <w:rPr>
          <w:rFonts w:ascii="Cambria" w:hAnsi="Cambria"/>
        </w:rPr>
      </w:pPr>
      <w:r w:rsidRPr="006308E1">
        <w:rPr>
          <w:rFonts w:ascii="Cambria" w:hAnsi="Cambria"/>
          <w:noProof/>
        </w:rPr>
        <w:drawing>
          <wp:inline distT="0" distB="0" distL="0" distR="0" wp14:anchorId="748CF4D3" wp14:editId="36E6317B">
            <wp:extent cx="5657850" cy="3162300"/>
            <wp:effectExtent l="0" t="0" r="0" b="0"/>
            <wp:docPr id="7" name="Chart 7">
              <a:extLst xmlns:a="http://schemas.openxmlformats.org/drawingml/2006/main">
                <a:ext uri="{FF2B5EF4-FFF2-40B4-BE49-F238E27FC236}">
                  <a16:creationId xmlns:a16="http://schemas.microsoft.com/office/drawing/2014/main" id="{539A1656-F231-42BA-AA3A-AD6A8078F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460F6E" w14:textId="77777777" w:rsidR="00145B2C" w:rsidRPr="006308E1" w:rsidRDefault="00145B2C" w:rsidP="00145B2C">
      <w:pPr>
        <w:spacing w:after="0"/>
        <w:rPr>
          <w:rFonts w:ascii="Cambria" w:hAnsi="Cambria"/>
        </w:rPr>
      </w:pPr>
      <w:r w:rsidRPr="006308E1">
        <w:rPr>
          <w:rFonts w:ascii="Cambria" w:hAnsi="Cambria"/>
        </w:rPr>
        <w:t>Data Source: USDA Agricultural Marketing Service through Livestock Marketing Information Center.</w:t>
      </w:r>
    </w:p>
    <w:p w14:paraId="2BCAC4C1" w14:textId="77777777" w:rsidR="00145B2C" w:rsidRPr="006308E1" w:rsidRDefault="00145B2C" w:rsidP="00145B2C">
      <w:pPr>
        <w:rPr>
          <w:rFonts w:ascii="Cambria" w:hAnsi="Cambria"/>
        </w:rPr>
      </w:pPr>
      <w:r w:rsidRPr="006308E1">
        <w:rPr>
          <w:rFonts w:ascii="Cambria" w:hAnsi="Cambria"/>
          <w:b/>
        </w:rPr>
        <w:t>Figure 6.</w:t>
      </w:r>
      <w:r w:rsidRPr="006308E1">
        <w:rPr>
          <w:rFonts w:ascii="Cambria" w:hAnsi="Cambria"/>
        </w:rPr>
        <w:t xml:space="preserve">  Weekly 5-Area Weighted Average Fed Steer Price: Live Negotiated, FOB</w:t>
      </w:r>
    </w:p>
    <w:p w14:paraId="4B1C3E06" w14:textId="77777777" w:rsidR="006308E1" w:rsidRPr="006308E1" w:rsidRDefault="006308E1" w:rsidP="006308E1">
      <w:pPr>
        <w:rPr>
          <w:rFonts w:ascii="Cambria" w:hAnsi="Cambria" w:cs="Arial"/>
          <w:color w:val="A6A6A6" w:themeColor="background1" w:themeShade="A6"/>
          <w:sz w:val="18"/>
          <w:szCs w:val="18"/>
        </w:rPr>
      </w:pPr>
      <w:r w:rsidRPr="006308E1">
        <w:rPr>
          <w:rFonts w:ascii="Cambria" w:hAnsi="Cambria" w:cs="Arial"/>
          <w:color w:val="A6A6A6" w:themeColor="background1" w:themeShade="A6"/>
          <w:sz w:val="18"/>
          <w:szCs w:val="18"/>
        </w:rPr>
        <w:lastRenderedPageBreak/>
        <w:t>The University of Arkansas System Division of Agriculture is an equal opportunity/equal access/affirmative action institution. If you require a reasonable accommodation to participate or need materials in another format, please contact 479-575-4607 as soon as possible. Dial 711 for Arkansas Relay. </w:t>
      </w:r>
    </w:p>
    <w:p w14:paraId="1CEAF921" w14:textId="77777777" w:rsidR="00A64EC6" w:rsidRPr="006308E1" w:rsidRDefault="00A64EC6" w:rsidP="000B0DEC">
      <w:pPr>
        <w:rPr>
          <w:rFonts w:ascii="Cambria" w:hAnsi="Cambria"/>
        </w:rPr>
      </w:pPr>
    </w:p>
    <w:sectPr w:rsidR="00A64EC6" w:rsidRPr="00630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225D6"/>
    <w:multiLevelType w:val="hybridMultilevel"/>
    <w:tmpl w:val="F4A2A752"/>
    <w:lvl w:ilvl="0" w:tplc="DAAA5E58">
      <w:start w:val="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06A78"/>
    <w:rsid w:val="000832BF"/>
    <w:rsid w:val="000B0DEC"/>
    <w:rsid w:val="000B44B0"/>
    <w:rsid w:val="000C0A91"/>
    <w:rsid w:val="000F0C30"/>
    <w:rsid w:val="000F26EF"/>
    <w:rsid w:val="00104D2F"/>
    <w:rsid w:val="00145B2C"/>
    <w:rsid w:val="00154C52"/>
    <w:rsid w:val="0016274A"/>
    <w:rsid w:val="00165B26"/>
    <w:rsid w:val="001B0892"/>
    <w:rsid w:val="001D71B7"/>
    <w:rsid w:val="001D7BE1"/>
    <w:rsid w:val="001F6AAC"/>
    <w:rsid w:val="00226C97"/>
    <w:rsid w:val="00253CD0"/>
    <w:rsid w:val="00275746"/>
    <w:rsid w:val="0027667F"/>
    <w:rsid w:val="00280B58"/>
    <w:rsid w:val="002F3C19"/>
    <w:rsid w:val="002F57A8"/>
    <w:rsid w:val="00307E8B"/>
    <w:rsid w:val="00323F35"/>
    <w:rsid w:val="00333AF4"/>
    <w:rsid w:val="00334C7C"/>
    <w:rsid w:val="00362BA5"/>
    <w:rsid w:val="003A0A09"/>
    <w:rsid w:val="00481294"/>
    <w:rsid w:val="00486133"/>
    <w:rsid w:val="004A3E20"/>
    <w:rsid w:val="004B57FA"/>
    <w:rsid w:val="004B5A32"/>
    <w:rsid w:val="004C721C"/>
    <w:rsid w:val="004E5BA7"/>
    <w:rsid w:val="0054692A"/>
    <w:rsid w:val="005A3638"/>
    <w:rsid w:val="005B0E04"/>
    <w:rsid w:val="005C6CE2"/>
    <w:rsid w:val="005D17DA"/>
    <w:rsid w:val="00605F21"/>
    <w:rsid w:val="00612661"/>
    <w:rsid w:val="006308E1"/>
    <w:rsid w:val="00671A66"/>
    <w:rsid w:val="00673DA9"/>
    <w:rsid w:val="006B4454"/>
    <w:rsid w:val="00777F8D"/>
    <w:rsid w:val="007D1E45"/>
    <w:rsid w:val="007E72B6"/>
    <w:rsid w:val="00802549"/>
    <w:rsid w:val="00814CF2"/>
    <w:rsid w:val="00865D82"/>
    <w:rsid w:val="008A0499"/>
    <w:rsid w:val="008A19BD"/>
    <w:rsid w:val="008E0C87"/>
    <w:rsid w:val="009539D3"/>
    <w:rsid w:val="00996B86"/>
    <w:rsid w:val="009A1BA5"/>
    <w:rsid w:val="009D0CB6"/>
    <w:rsid w:val="00A127C9"/>
    <w:rsid w:val="00A17B9A"/>
    <w:rsid w:val="00A5247D"/>
    <w:rsid w:val="00A64EC6"/>
    <w:rsid w:val="00A90CA4"/>
    <w:rsid w:val="00AA597D"/>
    <w:rsid w:val="00AD0836"/>
    <w:rsid w:val="00B153C2"/>
    <w:rsid w:val="00B16A62"/>
    <w:rsid w:val="00B52A8A"/>
    <w:rsid w:val="00B65108"/>
    <w:rsid w:val="00B74E5F"/>
    <w:rsid w:val="00B764A5"/>
    <w:rsid w:val="00B924CE"/>
    <w:rsid w:val="00BC6295"/>
    <w:rsid w:val="00C35D0F"/>
    <w:rsid w:val="00C71B1A"/>
    <w:rsid w:val="00C8070B"/>
    <w:rsid w:val="00CF65DE"/>
    <w:rsid w:val="00D060FE"/>
    <w:rsid w:val="00D272E6"/>
    <w:rsid w:val="00D34782"/>
    <w:rsid w:val="00D45849"/>
    <w:rsid w:val="00D50EE0"/>
    <w:rsid w:val="00D77EAB"/>
    <w:rsid w:val="00DE3101"/>
    <w:rsid w:val="00E05DAC"/>
    <w:rsid w:val="00E35AED"/>
    <w:rsid w:val="00E44BDB"/>
    <w:rsid w:val="00E450BE"/>
    <w:rsid w:val="00EF042E"/>
    <w:rsid w:val="00F101D4"/>
    <w:rsid w:val="00F66CE1"/>
    <w:rsid w:val="00F75582"/>
    <w:rsid w:val="00FF0C3E"/>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5765"/>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table" w:styleId="TableGrid">
    <w:name w:val="Table Grid"/>
    <w:basedOn w:val="TableNormal"/>
    <w:uiPriority w:val="59"/>
    <w:rsid w:val="000B0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99445718113477"/>
          <c:y val="5.8516441989253987E-2"/>
          <c:w val="0.79754696851049911"/>
          <c:h val="0.65078660277958544"/>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Summary!$AN$241:$AN$252</c:f>
              <c:numCache>
                <c:formatCode>0</c:formatCode>
                <c:ptCount val="12"/>
                <c:pt idx="0">
                  <c:v>1942.6666666666667</c:v>
                </c:pt>
                <c:pt idx="1">
                  <c:v>1740.3333333333333</c:v>
                </c:pt>
                <c:pt idx="2">
                  <c:v>1976.6666666666667</c:v>
                </c:pt>
                <c:pt idx="3">
                  <c:v>1735.6666666666667</c:v>
                </c:pt>
                <c:pt idx="4">
                  <c:v>2044</c:v>
                </c:pt>
                <c:pt idx="5">
                  <c:v>1697.6666666666667</c:v>
                </c:pt>
                <c:pt idx="6">
                  <c:v>1643</c:v>
                </c:pt>
                <c:pt idx="7">
                  <c:v>1959</c:v>
                </c:pt>
                <c:pt idx="8">
                  <c:v>2032</c:v>
                </c:pt>
                <c:pt idx="9">
                  <c:v>2270.6666666666665</c:v>
                </c:pt>
                <c:pt idx="10">
                  <c:v>1979.3333333333333</c:v>
                </c:pt>
                <c:pt idx="11">
                  <c:v>1783.6666666666667</c:v>
                </c:pt>
              </c:numCache>
            </c:numRef>
          </c:val>
          <c:smooth val="0"/>
          <c:extLst>
            <c:ext xmlns:c16="http://schemas.microsoft.com/office/drawing/2014/chart" uri="{C3380CC4-5D6E-409C-BE32-E72D297353CC}">
              <c16:uniqueId val="{00000000-1F6A-4A7C-989E-097D134368A7}"/>
            </c:ext>
          </c:extLst>
        </c:ser>
        <c:ser>
          <c:idx val="3"/>
          <c:order val="1"/>
          <c:tx>
            <c:strRef>
              <c:f>Summary!$B$280</c:f>
              <c:strCache>
                <c:ptCount val="1"/>
                <c:pt idx="0">
                  <c:v>2019</c:v>
                </c:pt>
              </c:strCache>
            </c:strRef>
          </c:tx>
          <c:marker>
            <c:symbol val="none"/>
          </c:marker>
          <c:val>
            <c:numRef>
              <c:f>Summary!$F$280:$F$291</c:f>
              <c:numCache>
                <c:formatCode>General</c:formatCode>
                <c:ptCount val="12"/>
                <c:pt idx="0">
                  <c:v>1969</c:v>
                </c:pt>
                <c:pt idx="1">
                  <c:v>1858</c:v>
                </c:pt>
                <c:pt idx="2">
                  <c:v>2014</c:v>
                </c:pt>
                <c:pt idx="3">
                  <c:v>1842</c:v>
                </c:pt>
                <c:pt idx="4">
                  <c:v>2063</c:v>
                </c:pt>
                <c:pt idx="5">
                  <c:v>1749</c:v>
                </c:pt>
                <c:pt idx="6">
                  <c:v>1705</c:v>
                </c:pt>
                <c:pt idx="7">
                  <c:v>1884</c:v>
                </c:pt>
                <c:pt idx="8">
                  <c:v>2103</c:v>
                </c:pt>
                <c:pt idx="9">
                  <c:v>2462</c:v>
                </c:pt>
                <c:pt idx="10">
                  <c:v>2093</c:v>
                </c:pt>
                <c:pt idx="11">
                  <c:v>1828</c:v>
                </c:pt>
              </c:numCache>
            </c:numRef>
          </c:val>
          <c:smooth val="0"/>
          <c:extLst>
            <c:ext xmlns:c16="http://schemas.microsoft.com/office/drawing/2014/chart" uri="{C3380CC4-5D6E-409C-BE32-E72D297353CC}">
              <c16:uniqueId val="{00000001-1F6A-4A7C-989E-097D134368A7}"/>
            </c:ext>
          </c:extLst>
        </c:ser>
        <c:ser>
          <c:idx val="1"/>
          <c:order val="2"/>
          <c:tx>
            <c:strRef>
              <c:f>Summary!$AF$232</c:f>
              <c:strCache>
                <c:ptCount val="1"/>
                <c:pt idx="0">
                  <c:v>2020</c:v>
                </c:pt>
              </c:strCache>
            </c:strRef>
          </c:tx>
          <c:val>
            <c:numRef>
              <c:f>Summary!$F$292:$F$303</c:f>
              <c:numCache>
                <c:formatCode>General</c:formatCode>
                <c:ptCount val="12"/>
                <c:pt idx="0">
                  <c:v>1955</c:v>
                </c:pt>
                <c:pt idx="1">
                  <c:v>1716</c:v>
                </c:pt>
                <c:pt idx="2">
                  <c:v>1557</c:v>
                </c:pt>
                <c:pt idx="3">
                  <c:v>1432</c:v>
                </c:pt>
                <c:pt idx="4">
                  <c:v>2037</c:v>
                </c:pt>
              </c:numCache>
            </c:numRef>
          </c:val>
          <c:smooth val="0"/>
          <c:extLst>
            <c:ext xmlns:c16="http://schemas.microsoft.com/office/drawing/2014/chart" uri="{C3380CC4-5D6E-409C-BE32-E72D297353CC}">
              <c16:uniqueId val="{00000002-1F6A-4A7C-989E-097D134368A7}"/>
            </c:ext>
          </c:extLst>
        </c:ser>
        <c:dLbls>
          <c:showLegendKey val="0"/>
          <c:showVal val="0"/>
          <c:showCatName val="0"/>
          <c:showSerName val="0"/>
          <c:showPercent val="0"/>
          <c:showBubbleSize val="0"/>
        </c:dLbls>
        <c:smooth val="0"/>
        <c:axId val="316453744"/>
        <c:axId val="316454304"/>
      </c:lineChart>
      <c:dateAx>
        <c:axId val="316453744"/>
        <c:scaling>
          <c:orientation val="minMax"/>
        </c:scaling>
        <c:delete val="0"/>
        <c:axPos val="b"/>
        <c:title>
          <c:tx>
            <c:rich>
              <a:bodyPr/>
              <a:lstStyle/>
              <a:p>
                <a:pPr>
                  <a:defRPr/>
                </a:pPr>
                <a:r>
                  <a:rPr lang="en-US"/>
                  <a:t>Month</a:t>
                </a:r>
              </a:p>
            </c:rich>
          </c:tx>
          <c:overlay val="0"/>
        </c:title>
        <c:numFmt formatCode="[$-409]mmmmm;@" sourceLinked="0"/>
        <c:majorTickMark val="out"/>
        <c:minorTickMark val="none"/>
        <c:tickLblPos val="nextTo"/>
        <c:txPr>
          <a:bodyPr rot="0" vert="horz"/>
          <a:lstStyle/>
          <a:p>
            <a:pPr>
              <a:defRPr/>
            </a:pPr>
            <a:endParaRPr lang="en-US"/>
          </a:p>
        </c:txPr>
        <c:crossAx val="316454304"/>
        <c:crosses val="autoZero"/>
        <c:auto val="1"/>
        <c:lblOffset val="100"/>
        <c:baseTimeUnit val="months"/>
      </c:dateAx>
      <c:valAx>
        <c:axId val="316454304"/>
        <c:scaling>
          <c:orientation val="minMax"/>
          <c:min val="1000"/>
        </c:scaling>
        <c:delete val="0"/>
        <c:axPos val="l"/>
        <c:title>
          <c:tx>
            <c:rich>
              <a:bodyPr/>
              <a:lstStyle/>
              <a:p>
                <a:pPr>
                  <a:defRPr/>
                </a:pPr>
                <a:r>
                  <a:rPr lang="en-US"/>
                  <a:t>1,000 head</a:t>
                </a:r>
              </a:p>
            </c:rich>
          </c:tx>
          <c:overlay val="0"/>
        </c:title>
        <c:numFmt formatCode="#,##0" sourceLinked="0"/>
        <c:majorTickMark val="out"/>
        <c:minorTickMark val="none"/>
        <c:tickLblPos val="nextTo"/>
        <c:txPr>
          <a:bodyPr rot="0" vert="horz"/>
          <a:lstStyle/>
          <a:p>
            <a:pPr>
              <a:defRPr/>
            </a:pPr>
            <a:endParaRPr lang="en-US"/>
          </a:p>
        </c:txPr>
        <c:crossAx val="316453744"/>
        <c:crosses val="autoZero"/>
        <c:crossBetween val="between"/>
      </c:valAx>
    </c:plotArea>
    <c:legend>
      <c:legendPos val="b"/>
      <c:layout>
        <c:manualLayout>
          <c:xMode val="edge"/>
          <c:yMode val="edge"/>
          <c:x val="0.17798809395400919"/>
          <c:y val="0.89286355205599299"/>
          <c:w val="0.7486800886890379"/>
          <c:h val="6.5828276006773934E-2"/>
        </c:manualLayout>
      </c:layout>
      <c:overlay val="0"/>
    </c:legend>
    <c:plotVisOnly val="1"/>
    <c:dispBlanksAs val="gap"/>
    <c:showDLblsOverMax val="0"/>
  </c:chart>
  <c:spPr>
    <a:ln>
      <a:noFill/>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24526513803892"/>
          <c:y val="5.8516441989254007E-2"/>
          <c:w val="0.83329629651059955"/>
          <c:h val="0.67689842981276938"/>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Summary!$AM$241:$AM$252</c:f>
              <c:numCache>
                <c:formatCode>0</c:formatCode>
                <c:ptCount val="12"/>
                <c:pt idx="0">
                  <c:v>1732.6666666666667</c:v>
                </c:pt>
                <c:pt idx="1">
                  <c:v>1638</c:v>
                </c:pt>
                <c:pt idx="2">
                  <c:v>1833.6666666666667</c:v>
                </c:pt>
                <c:pt idx="3">
                  <c:v>1721.3333333333333</c:v>
                </c:pt>
                <c:pt idx="4">
                  <c:v>1933.6666666666667</c:v>
                </c:pt>
                <c:pt idx="5">
                  <c:v>1969</c:v>
                </c:pt>
                <c:pt idx="6">
                  <c:v>1790</c:v>
                </c:pt>
                <c:pt idx="7">
                  <c:v>1943.3333333333333</c:v>
                </c:pt>
                <c:pt idx="8">
                  <c:v>1744.6666666666667</c:v>
                </c:pt>
                <c:pt idx="9">
                  <c:v>1797.6666666666667</c:v>
                </c:pt>
                <c:pt idx="10">
                  <c:v>1833.3333333333333</c:v>
                </c:pt>
                <c:pt idx="11">
                  <c:v>1756.6666666666667</c:v>
                </c:pt>
              </c:numCache>
            </c:numRef>
          </c:val>
          <c:smooth val="0"/>
          <c:extLst>
            <c:ext xmlns:c16="http://schemas.microsoft.com/office/drawing/2014/chart" uri="{C3380CC4-5D6E-409C-BE32-E72D297353CC}">
              <c16:uniqueId val="{00000000-12C1-4034-8B0A-10D1C281C23E}"/>
            </c:ext>
          </c:extLst>
        </c:ser>
        <c:ser>
          <c:idx val="3"/>
          <c:order val="1"/>
          <c:tx>
            <c:strRef>
              <c:f>Summary!$B$280</c:f>
              <c:strCache>
                <c:ptCount val="1"/>
                <c:pt idx="0">
                  <c:v>2019</c:v>
                </c:pt>
              </c:strCache>
            </c:strRef>
          </c:tx>
          <c:marker>
            <c:symbol val="none"/>
          </c:marker>
          <c:val>
            <c:numRef>
              <c:f>Summary!$E$280:$E$291</c:f>
              <c:numCache>
                <c:formatCode>General</c:formatCode>
                <c:ptCount val="12"/>
                <c:pt idx="0">
                  <c:v>1910</c:v>
                </c:pt>
                <c:pt idx="1">
                  <c:v>1683</c:v>
                </c:pt>
                <c:pt idx="2">
                  <c:v>1777</c:v>
                </c:pt>
                <c:pt idx="3">
                  <c:v>1928</c:v>
                </c:pt>
                <c:pt idx="4">
                  <c:v>2070</c:v>
                </c:pt>
                <c:pt idx="5">
                  <c:v>1943</c:v>
                </c:pt>
                <c:pt idx="6">
                  <c:v>2002</c:v>
                </c:pt>
                <c:pt idx="7">
                  <c:v>1953</c:v>
                </c:pt>
                <c:pt idx="8">
                  <c:v>1738</c:v>
                </c:pt>
                <c:pt idx="9">
                  <c:v>1875</c:v>
                </c:pt>
                <c:pt idx="10">
                  <c:v>1813</c:v>
                </c:pt>
                <c:pt idx="11">
                  <c:v>1834</c:v>
                </c:pt>
              </c:numCache>
            </c:numRef>
          </c:val>
          <c:smooth val="0"/>
          <c:extLst>
            <c:ext xmlns:c16="http://schemas.microsoft.com/office/drawing/2014/chart" uri="{C3380CC4-5D6E-409C-BE32-E72D297353CC}">
              <c16:uniqueId val="{00000001-12C1-4034-8B0A-10D1C281C23E}"/>
            </c:ext>
          </c:extLst>
        </c:ser>
        <c:ser>
          <c:idx val="1"/>
          <c:order val="2"/>
          <c:tx>
            <c:strRef>
              <c:f>Summary!$AF$232</c:f>
              <c:strCache>
                <c:ptCount val="1"/>
                <c:pt idx="0">
                  <c:v>2020</c:v>
                </c:pt>
              </c:strCache>
            </c:strRef>
          </c:tx>
          <c:val>
            <c:numRef>
              <c:f>Summary!$E$292:$E$303</c:f>
              <c:numCache>
                <c:formatCode>General</c:formatCode>
                <c:ptCount val="12"/>
                <c:pt idx="0">
                  <c:v>1931</c:v>
                </c:pt>
                <c:pt idx="1">
                  <c:v>1775</c:v>
                </c:pt>
                <c:pt idx="2">
                  <c:v>2010</c:v>
                </c:pt>
                <c:pt idx="3">
                  <c:v>1459</c:v>
                </c:pt>
                <c:pt idx="4">
                  <c:v>1500</c:v>
                </c:pt>
              </c:numCache>
            </c:numRef>
          </c:val>
          <c:smooth val="0"/>
          <c:extLst>
            <c:ext xmlns:c16="http://schemas.microsoft.com/office/drawing/2014/chart" uri="{C3380CC4-5D6E-409C-BE32-E72D297353CC}">
              <c16:uniqueId val="{00000002-12C1-4034-8B0A-10D1C281C23E}"/>
            </c:ext>
          </c:extLst>
        </c:ser>
        <c:dLbls>
          <c:showLegendKey val="0"/>
          <c:showVal val="0"/>
          <c:showCatName val="0"/>
          <c:showSerName val="0"/>
          <c:showPercent val="0"/>
          <c:showBubbleSize val="0"/>
        </c:dLbls>
        <c:smooth val="0"/>
        <c:axId val="318782000"/>
        <c:axId val="318782560"/>
      </c:lineChart>
      <c:dateAx>
        <c:axId val="318782000"/>
        <c:scaling>
          <c:orientation val="minMax"/>
        </c:scaling>
        <c:delete val="0"/>
        <c:axPos val="b"/>
        <c:title>
          <c:tx>
            <c:rich>
              <a:bodyPr/>
              <a:lstStyle/>
              <a:p>
                <a:pPr>
                  <a:defRPr/>
                </a:pPr>
                <a:r>
                  <a:rPr lang="en-US"/>
                  <a:t>Month</a:t>
                </a:r>
              </a:p>
            </c:rich>
          </c:tx>
          <c:overlay val="0"/>
        </c:title>
        <c:numFmt formatCode="[$-409]mmmmm;@" sourceLinked="0"/>
        <c:majorTickMark val="out"/>
        <c:minorTickMark val="none"/>
        <c:tickLblPos val="nextTo"/>
        <c:txPr>
          <a:bodyPr rot="0" vert="horz"/>
          <a:lstStyle/>
          <a:p>
            <a:pPr>
              <a:defRPr/>
            </a:pPr>
            <a:endParaRPr lang="en-US"/>
          </a:p>
        </c:txPr>
        <c:crossAx val="318782560"/>
        <c:crosses val="autoZero"/>
        <c:auto val="1"/>
        <c:lblOffset val="100"/>
        <c:baseTimeUnit val="months"/>
      </c:dateAx>
      <c:valAx>
        <c:axId val="318782560"/>
        <c:scaling>
          <c:orientation val="minMax"/>
          <c:min val="1000"/>
        </c:scaling>
        <c:delete val="0"/>
        <c:axPos val="l"/>
        <c:title>
          <c:tx>
            <c:rich>
              <a:bodyPr/>
              <a:lstStyle/>
              <a:p>
                <a:pPr>
                  <a:defRPr/>
                </a:pPr>
                <a:r>
                  <a:rPr lang="en-US"/>
                  <a:t>1,000 head</a:t>
                </a:r>
              </a:p>
            </c:rich>
          </c:tx>
          <c:overlay val="0"/>
        </c:title>
        <c:numFmt formatCode="#,##0" sourceLinked="0"/>
        <c:majorTickMark val="out"/>
        <c:minorTickMark val="none"/>
        <c:tickLblPos val="nextTo"/>
        <c:txPr>
          <a:bodyPr rot="0" vert="horz"/>
          <a:lstStyle/>
          <a:p>
            <a:pPr>
              <a:defRPr/>
            </a:pPr>
            <a:endParaRPr lang="en-US"/>
          </a:p>
        </c:txPr>
        <c:crossAx val="318782000"/>
        <c:crosses val="autoZero"/>
        <c:crossBetween val="between"/>
      </c:valAx>
    </c:plotArea>
    <c:legend>
      <c:legendPos val="b"/>
      <c:overlay val="0"/>
    </c:legend>
    <c:plotVisOnly val="1"/>
    <c:dispBlanksAs val="gap"/>
    <c:showDLblsOverMax val="0"/>
  </c:chart>
  <c:spPr>
    <a:ln>
      <a:noFill/>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38569600392754"/>
          <c:y val="5.2742479364617102E-2"/>
          <c:w val="0.84129063830685413"/>
          <c:h val="0.6632065989531658"/>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Summary!$AL$241:$AL$252</c:f>
              <c:numCache>
                <c:formatCode>0</c:formatCode>
                <c:ptCount val="12"/>
                <c:pt idx="0">
                  <c:v>10889.666666666666</c:v>
                </c:pt>
                <c:pt idx="1">
                  <c:v>11040.333333333334</c:v>
                </c:pt>
                <c:pt idx="2">
                  <c:v>11085.666666666666</c:v>
                </c:pt>
                <c:pt idx="3">
                  <c:v>11167</c:v>
                </c:pt>
                <c:pt idx="4">
                  <c:v>11113</c:v>
                </c:pt>
                <c:pt idx="5">
                  <c:v>11151</c:v>
                </c:pt>
                <c:pt idx="6">
                  <c:v>10821.333333333334</c:v>
                </c:pt>
                <c:pt idx="7">
                  <c:v>10620.666666666666</c:v>
                </c:pt>
                <c:pt idx="8">
                  <c:v>10588</c:v>
                </c:pt>
                <c:pt idx="9">
                  <c:v>10823</c:v>
                </c:pt>
                <c:pt idx="10">
                  <c:v>11229.666666666666</c:v>
                </c:pt>
                <c:pt idx="11">
                  <c:v>11302.333333333334</c:v>
                </c:pt>
              </c:numCache>
            </c:numRef>
          </c:val>
          <c:smooth val="0"/>
          <c:extLst>
            <c:ext xmlns:c16="http://schemas.microsoft.com/office/drawing/2014/chart" uri="{C3380CC4-5D6E-409C-BE32-E72D297353CC}">
              <c16:uniqueId val="{00000000-9A99-4EA8-A527-93ED2DC1B5CD}"/>
            </c:ext>
          </c:extLst>
        </c:ser>
        <c:ser>
          <c:idx val="3"/>
          <c:order val="1"/>
          <c:tx>
            <c:strRef>
              <c:f>Summary!$AF$231</c:f>
              <c:strCache>
                <c:ptCount val="1"/>
                <c:pt idx="0">
                  <c:v>2019</c:v>
                </c:pt>
              </c:strCache>
            </c:strRef>
          </c:tx>
          <c:marker>
            <c:symbol val="none"/>
          </c:marker>
          <c:val>
            <c:numRef>
              <c:f>Summary!$D$280:$D$291</c:f>
              <c:numCache>
                <c:formatCode>General</c:formatCode>
                <c:ptCount val="12"/>
                <c:pt idx="0">
                  <c:v>11690</c:v>
                </c:pt>
                <c:pt idx="1">
                  <c:v>11676</c:v>
                </c:pt>
                <c:pt idx="2">
                  <c:v>11785</c:v>
                </c:pt>
                <c:pt idx="3">
                  <c:v>11953</c:v>
                </c:pt>
                <c:pt idx="4">
                  <c:v>11807</c:v>
                </c:pt>
                <c:pt idx="5">
                  <c:v>11728</c:v>
                </c:pt>
                <c:pt idx="6">
                  <c:v>11480</c:v>
                </c:pt>
                <c:pt idx="7">
                  <c:v>11112</c:v>
                </c:pt>
                <c:pt idx="8">
                  <c:v>10982</c:v>
                </c:pt>
                <c:pt idx="9">
                  <c:v>11288</c:v>
                </c:pt>
                <c:pt idx="10">
                  <c:v>11816</c:v>
                </c:pt>
                <c:pt idx="11">
                  <c:v>12031</c:v>
                </c:pt>
              </c:numCache>
            </c:numRef>
          </c:val>
          <c:smooth val="0"/>
          <c:extLst>
            <c:ext xmlns:c16="http://schemas.microsoft.com/office/drawing/2014/chart" uri="{C3380CC4-5D6E-409C-BE32-E72D297353CC}">
              <c16:uniqueId val="{00000001-9A99-4EA8-A527-93ED2DC1B5CD}"/>
            </c:ext>
          </c:extLst>
        </c:ser>
        <c:ser>
          <c:idx val="2"/>
          <c:order val="2"/>
          <c:tx>
            <c:strRef>
              <c:f>Summary!$AF$232</c:f>
              <c:strCache>
                <c:ptCount val="1"/>
                <c:pt idx="0">
                  <c:v>2020</c:v>
                </c:pt>
              </c:strCache>
            </c:strRef>
          </c:tx>
          <c:spPr>
            <a:ln>
              <a:solidFill>
                <a:schemeClr val="accent2"/>
              </a:solidFill>
            </a:ln>
          </c:spPr>
          <c:marker>
            <c:symbol val="square"/>
            <c:size val="5"/>
            <c:spPr>
              <a:solidFill>
                <a:schemeClr val="accent2"/>
              </a:solidFill>
              <a:ln>
                <a:solidFill>
                  <a:schemeClr val="accent2"/>
                </a:solidFill>
              </a:ln>
            </c:spPr>
          </c:marker>
          <c:val>
            <c:numRef>
              <c:f>Summary!$D$292:$D$303</c:f>
              <c:numCache>
                <c:formatCode>General</c:formatCode>
                <c:ptCount val="12"/>
                <c:pt idx="0">
                  <c:v>11958</c:v>
                </c:pt>
                <c:pt idx="1">
                  <c:v>11928</c:v>
                </c:pt>
                <c:pt idx="2">
                  <c:v>11811</c:v>
                </c:pt>
                <c:pt idx="3">
                  <c:v>11297</c:v>
                </c:pt>
                <c:pt idx="4">
                  <c:v>11200</c:v>
                </c:pt>
                <c:pt idx="5">
                  <c:v>11671</c:v>
                </c:pt>
              </c:numCache>
            </c:numRef>
          </c:val>
          <c:smooth val="0"/>
          <c:extLst>
            <c:ext xmlns:c16="http://schemas.microsoft.com/office/drawing/2014/chart" uri="{C3380CC4-5D6E-409C-BE32-E72D297353CC}">
              <c16:uniqueId val="{00000002-9A99-4EA8-A527-93ED2DC1B5CD}"/>
            </c:ext>
          </c:extLst>
        </c:ser>
        <c:dLbls>
          <c:showLegendKey val="0"/>
          <c:showVal val="0"/>
          <c:showCatName val="0"/>
          <c:showSerName val="0"/>
          <c:showPercent val="0"/>
          <c:showBubbleSize val="0"/>
        </c:dLbls>
        <c:smooth val="0"/>
        <c:axId val="319515040"/>
        <c:axId val="319515600"/>
      </c:lineChart>
      <c:dateAx>
        <c:axId val="319515040"/>
        <c:scaling>
          <c:orientation val="minMax"/>
        </c:scaling>
        <c:delete val="0"/>
        <c:axPos val="b"/>
        <c:title>
          <c:tx>
            <c:rich>
              <a:bodyPr/>
              <a:lstStyle/>
              <a:p>
                <a:pPr>
                  <a:defRPr/>
                </a:pPr>
                <a:r>
                  <a:rPr lang="en-US"/>
                  <a:t>Month</a:t>
                </a:r>
              </a:p>
            </c:rich>
          </c:tx>
          <c:overlay val="0"/>
        </c:title>
        <c:numFmt formatCode="[$-409]mmmmm;@" sourceLinked="0"/>
        <c:majorTickMark val="out"/>
        <c:minorTickMark val="none"/>
        <c:tickLblPos val="nextTo"/>
        <c:txPr>
          <a:bodyPr rot="0" vert="horz"/>
          <a:lstStyle/>
          <a:p>
            <a:pPr>
              <a:defRPr/>
            </a:pPr>
            <a:endParaRPr lang="en-US"/>
          </a:p>
        </c:txPr>
        <c:crossAx val="319515600"/>
        <c:crosses val="autoZero"/>
        <c:auto val="1"/>
        <c:lblOffset val="100"/>
        <c:baseTimeUnit val="months"/>
      </c:dateAx>
      <c:valAx>
        <c:axId val="319515600"/>
        <c:scaling>
          <c:orientation val="minMax"/>
          <c:min val="9000"/>
        </c:scaling>
        <c:delete val="0"/>
        <c:axPos val="l"/>
        <c:title>
          <c:tx>
            <c:rich>
              <a:bodyPr/>
              <a:lstStyle/>
              <a:p>
                <a:pPr>
                  <a:defRPr/>
                </a:pPr>
                <a:r>
                  <a:rPr lang="en-US"/>
                  <a:t>1,000 head</a:t>
                </a:r>
              </a:p>
            </c:rich>
          </c:tx>
          <c:overlay val="0"/>
        </c:title>
        <c:numFmt formatCode="#,##0" sourceLinked="0"/>
        <c:majorTickMark val="out"/>
        <c:minorTickMark val="none"/>
        <c:tickLblPos val="nextTo"/>
        <c:txPr>
          <a:bodyPr rot="0" vert="horz"/>
          <a:lstStyle/>
          <a:p>
            <a:pPr>
              <a:defRPr/>
            </a:pPr>
            <a:endParaRPr lang="en-US"/>
          </a:p>
        </c:txPr>
        <c:crossAx val="319515040"/>
        <c:crosses val="autoZero"/>
        <c:crossBetween val="between"/>
      </c:valAx>
    </c:plotArea>
    <c:legend>
      <c:legendPos val="b"/>
      <c:layout>
        <c:manualLayout>
          <c:xMode val="edge"/>
          <c:yMode val="edge"/>
          <c:x val="0.28741772663032505"/>
          <c:y val="0.88570013254847213"/>
          <c:w val="0.52310131906588597"/>
          <c:h val="6.7853908158611809E-2"/>
        </c:manualLayout>
      </c:layout>
      <c:overlay val="0"/>
    </c:legend>
    <c:plotVisOnly val="1"/>
    <c:dispBlanksAs val="gap"/>
    <c:showDLblsOverMax val="0"/>
  </c:chart>
  <c:spPr>
    <a:ln>
      <a:noFill/>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97790186660028"/>
          <c:y val="8.7573971936765513E-2"/>
          <c:w val="0.80587249554222085"/>
          <c:h val="0.65718166882359963"/>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Summary!$AO$241:$AO$252</c:f>
              <c:numCache>
                <c:formatCode>0</c:formatCode>
                <c:ptCount val="12"/>
                <c:pt idx="0">
                  <c:v>3322</c:v>
                </c:pt>
                <c:pt idx="1">
                  <c:v>3529</c:v>
                </c:pt>
                <c:pt idx="2">
                  <c:v>4106</c:v>
                </c:pt>
                <c:pt idx="3">
                  <c:v>4050.6666666666665</c:v>
                </c:pt>
                <c:pt idx="4">
                  <c:v>3964</c:v>
                </c:pt>
                <c:pt idx="5">
                  <c:v>3913.6666666666665</c:v>
                </c:pt>
                <c:pt idx="6">
                  <c:v>3628</c:v>
                </c:pt>
                <c:pt idx="7">
                  <c:v>3753</c:v>
                </c:pt>
                <c:pt idx="8">
                  <c:v>3477</c:v>
                </c:pt>
                <c:pt idx="9">
                  <c:v>3704</c:v>
                </c:pt>
                <c:pt idx="10">
                  <c:v>3545.6666666666665</c:v>
                </c:pt>
                <c:pt idx="11">
                  <c:v>3301.6666666666665</c:v>
                </c:pt>
              </c:numCache>
            </c:numRef>
          </c:val>
          <c:smooth val="0"/>
          <c:extLst>
            <c:ext xmlns:c16="http://schemas.microsoft.com/office/drawing/2014/chart" uri="{C3380CC4-5D6E-409C-BE32-E72D297353CC}">
              <c16:uniqueId val="{00000000-C1BD-407D-B6FD-7E8CC7CFB62B}"/>
            </c:ext>
          </c:extLst>
        </c:ser>
        <c:ser>
          <c:idx val="1"/>
          <c:order val="1"/>
          <c:tx>
            <c:strRef>
              <c:f>Summary!$AF$231</c:f>
              <c:strCache>
                <c:ptCount val="1"/>
                <c:pt idx="0">
                  <c:v>2019</c:v>
                </c:pt>
              </c:strCache>
            </c:strRef>
          </c:tx>
          <c:spPr>
            <a:ln>
              <a:solidFill>
                <a:schemeClr val="accent4"/>
              </a:solidFill>
            </a:ln>
          </c:spPr>
          <c:marker>
            <c:symbol val="none"/>
          </c:marker>
          <c:val>
            <c:numRef>
              <c:f>Summary!$K$280:$K$291</c:f>
              <c:numCache>
                <c:formatCode>#,##0_);\(#,##0\)</c:formatCode>
                <c:ptCount val="12"/>
                <c:pt idx="0">
                  <c:v>3909</c:v>
                </c:pt>
                <c:pt idx="1">
                  <c:v>3981</c:v>
                </c:pt>
                <c:pt idx="2">
                  <c:v>4477</c:v>
                </c:pt>
                <c:pt idx="3">
                  <c:v>4616</c:v>
                </c:pt>
                <c:pt idx="4">
                  <c:v>4380</c:v>
                </c:pt>
                <c:pt idx="5">
                  <c:v>4218</c:v>
                </c:pt>
                <c:pt idx="6">
                  <c:v>4079</c:v>
                </c:pt>
                <c:pt idx="7">
                  <c:v>4022</c:v>
                </c:pt>
                <c:pt idx="8">
                  <c:v>3851</c:v>
                </c:pt>
                <c:pt idx="9">
                  <c:v>4104</c:v>
                </c:pt>
                <c:pt idx="10">
                  <c:v>3912</c:v>
                </c:pt>
                <c:pt idx="11">
                  <c:v>3733</c:v>
                </c:pt>
              </c:numCache>
            </c:numRef>
          </c:val>
          <c:smooth val="0"/>
          <c:extLst>
            <c:ext xmlns:c16="http://schemas.microsoft.com/office/drawing/2014/chart" uri="{C3380CC4-5D6E-409C-BE32-E72D297353CC}">
              <c16:uniqueId val="{00000001-C1BD-407D-B6FD-7E8CC7CFB62B}"/>
            </c:ext>
          </c:extLst>
        </c:ser>
        <c:ser>
          <c:idx val="2"/>
          <c:order val="2"/>
          <c:tx>
            <c:strRef>
              <c:f>Summary!$AF$232</c:f>
              <c:strCache>
                <c:ptCount val="1"/>
                <c:pt idx="0">
                  <c:v>2020</c:v>
                </c:pt>
              </c:strCache>
            </c:strRef>
          </c:tx>
          <c:spPr>
            <a:ln>
              <a:solidFill>
                <a:schemeClr val="accent2"/>
              </a:solidFill>
            </a:ln>
          </c:spPr>
          <c:marker>
            <c:symbol val="square"/>
            <c:size val="5"/>
            <c:spPr>
              <a:solidFill>
                <a:schemeClr val="accent2"/>
              </a:solidFill>
              <a:ln>
                <a:solidFill>
                  <a:schemeClr val="accent2"/>
                </a:solidFill>
              </a:ln>
            </c:spPr>
          </c:marker>
          <c:val>
            <c:numRef>
              <c:f>Summary!$K$292:$K$303</c:f>
              <c:numCache>
                <c:formatCode>#,##0_);\(#,##0\)</c:formatCode>
                <c:ptCount val="12"/>
                <c:pt idx="0">
                  <c:v>3722</c:v>
                </c:pt>
                <c:pt idx="1">
                  <c:v>3835</c:v>
                </c:pt>
                <c:pt idx="2">
                  <c:v>4463</c:v>
                </c:pt>
                <c:pt idx="3">
                  <c:v>4481</c:v>
                </c:pt>
                <c:pt idx="4">
                  <c:v>4783</c:v>
                </c:pt>
                <c:pt idx="5">
                  <c:v>5184</c:v>
                </c:pt>
              </c:numCache>
            </c:numRef>
          </c:val>
          <c:smooth val="0"/>
          <c:extLst>
            <c:ext xmlns:c16="http://schemas.microsoft.com/office/drawing/2014/chart" uri="{C3380CC4-5D6E-409C-BE32-E72D297353CC}">
              <c16:uniqueId val="{00000002-C1BD-407D-B6FD-7E8CC7CFB62B}"/>
            </c:ext>
          </c:extLst>
        </c:ser>
        <c:dLbls>
          <c:showLegendKey val="0"/>
          <c:showVal val="0"/>
          <c:showCatName val="0"/>
          <c:showSerName val="0"/>
          <c:showPercent val="0"/>
          <c:showBubbleSize val="0"/>
        </c:dLbls>
        <c:smooth val="0"/>
        <c:axId val="316458224"/>
        <c:axId val="318778080"/>
      </c:lineChart>
      <c:dateAx>
        <c:axId val="316458224"/>
        <c:scaling>
          <c:orientation val="minMax"/>
        </c:scaling>
        <c:delete val="0"/>
        <c:axPos val="b"/>
        <c:title>
          <c:tx>
            <c:rich>
              <a:bodyPr/>
              <a:lstStyle/>
              <a:p>
                <a:pPr>
                  <a:defRPr/>
                </a:pPr>
                <a:r>
                  <a:rPr lang="en-US"/>
                  <a:t>Month</a:t>
                </a:r>
              </a:p>
            </c:rich>
          </c:tx>
          <c:overlay val="0"/>
        </c:title>
        <c:numFmt formatCode="[$-409]mmmmm;@" sourceLinked="0"/>
        <c:majorTickMark val="out"/>
        <c:minorTickMark val="none"/>
        <c:tickLblPos val="nextTo"/>
        <c:txPr>
          <a:bodyPr rot="0" vert="horz"/>
          <a:lstStyle/>
          <a:p>
            <a:pPr>
              <a:defRPr/>
            </a:pPr>
            <a:endParaRPr lang="en-US"/>
          </a:p>
        </c:txPr>
        <c:crossAx val="318778080"/>
        <c:crosses val="autoZero"/>
        <c:auto val="1"/>
        <c:lblOffset val="100"/>
        <c:baseTimeUnit val="months"/>
      </c:dateAx>
      <c:valAx>
        <c:axId val="318778080"/>
        <c:scaling>
          <c:orientation val="minMax"/>
          <c:min val="1000"/>
        </c:scaling>
        <c:delete val="0"/>
        <c:axPos val="l"/>
        <c:title>
          <c:tx>
            <c:rich>
              <a:bodyPr/>
              <a:lstStyle/>
              <a:p>
                <a:pPr>
                  <a:defRPr/>
                </a:pPr>
                <a:r>
                  <a:rPr lang="en-US"/>
                  <a:t>1,000 head</a:t>
                </a:r>
              </a:p>
            </c:rich>
          </c:tx>
          <c:overlay val="0"/>
        </c:title>
        <c:numFmt formatCode="#,##0" sourceLinked="0"/>
        <c:majorTickMark val="out"/>
        <c:minorTickMark val="none"/>
        <c:tickLblPos val="nextTo"/>
        <c:txPr>
          <a:bodyPr rot="0" vert="horz"/>
          <a:lstStyle/>
          <a:p>
            <a:pPr>
              <a:defRPr/>
            </a:pPr>
            <a:endParaRPr lang="en-US"/>
          </a:p>
        </c:txPr>
        <c:crossAx val="316458224"/>
        <c:crosses val="autoZero"/>
        <c:crossBetween val="between"/>
      </c:valAx>
    </c:plotArea>
    <c:legend>
      <c:legendPos val="b"/>
      <c:layout>
        <c:manualLayout>
          <c:xMode val="edge"/>
          <c:yMode val="edge"/>
          <c:x val="0.18587285367954959"/>
          <c:y val="0.90257576339542922"/>
          <c:w val="0.73615327081525483"/>
          <c:h val="6.4263506206199167E-2"/>
        </c:manualLayout>
      </c:layout>
      <c:overlay val="0"/>
    </c:legend>
    <c:plotVisOnly val="1"/>
    <c:dispBlanksAs val="gap"/>
    <c:showDLblsOverMax val="0"/>
  </c:chart>
  <c:spPr>
    <a:ln>
      <a:noFill/>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A!$E$1674</c:f>
              <c:strCache>
                <c:ptCount val="1"/>
                <c:pt idx="0">
                  <c:v>Avg. 2016-18</c:v>
                </c:pt>
              </c:strCache>
            </c:strRef>
          </c:tx>
          <c:spPr>
            <a:ln>
              <a:solidFill>
                <a:schemeClr val="accent1"/>
              </a:solidFill>
              <a:prstDash val="sysDash"/>
            </a:ln>
            <a:effectLst/>
          </c:spPr>
          <c:marker>
            <c:symbol val="none"/>
          </c:marker>
          <c:val>
            <c:numRef>
              <c:f>A!$E$1675:$E$1726</c:f>
              <c:numCache>
                <c:formatCode>0</c:formatCode>
                <c:ptCount val="52"/>
                <c:pt idx="0">
                  <c:v>902.33333333333337</c:v>
                </c:pt>
                <c:pt idx="1">
                  <c:v>897.33333333333337</c:v>
                </c:pt>
                <c:pt idx="2">
                  <c:v>893</c:v>
                </c:pt>
                <c:pt idx="3">
                  <c:v>890.33333333333337</c:v>
                </c:pt>
                <c:pt idx="4">
                  <c:v>891.33333333333337</c:v>
                </c:pt>
                <c:pt idx="5">
                  <c:v>886.33333333333337</c:v>
                </c:pt>
                <c:pt idx="6">
                  <c:v>882.66666666666663</c:v>
                </c:pt>
                <c:pt idx="7">
                  <c:v>882.66666666666663</c:v>
                </c:pt>
                <c:pt idx="8">
                  <c:v>882.33333333333337</c:v>
                </c:pt>
                <c:pt idx="9">
                  <c:v>886</c:v>
                </c:pt>
                <c:pt idx="10">
                  <c:v>881.33333333333337</c:v>
                </c:pt>
                <c:pt idx="11">
                  <c:v>877.66666666666663</c:v>
                </c:pt>
                <c:pt idx="12">
                  <c:v>872.66666666666663</c:v>
                </c:pt>
                <c:pt idx="13">
                  <c:v>868</c:v>
                </c:pt>
                <c:pt idx="14">
                  <c:v>864.33333333333337</c:v>
                </c:pt>
                <c:pt idx="15">
                  <c:v>858.33333333333337</c:v>
                </c:pt>
                <c:pt idx="16">
                  <c:v>855</c:v>
                </c:pt>
                <c:pt idx="17">
                  <c:v>847.66666666666663</c:v>
                </c:pt>
                <c:pt idx="18">
                  <c:v>849</c:v>
                </c:pt>
                <c:pt idx="19">
                  <c:v>848</c:v>
                </c:pt>
                <c:pt idx="20">
                  <c:v>848.33333333333337</c:v>
                </c:pt>
                <c:pt idx="21">
                  <c:v>854</c:v>
                </c:pt>
                <c:pt idx="22">
                  <c:v>854</c:v>
                </c:pt>
                <c:pt idx="23">
                  <c:v>859.33333333333337</c:v>
                </c:pt>
                <c:pt idx="24">
                  <c:v>859</c:v>
                </c:pt>
                <c:pt idx="25">
                  <c:v>864</c:v>
                </c:pt>
                <c:pt idx="26">
                  <c:v>869.33333333333337</c:v>
                </c:pt>
                <c:pt idx="27">
                  <c:v>870.66666666666663</c:v>
                </c:pt>
                <c:pt idx="28">
                  <c:v>873.33333333333337</c:v>
                </c:pt>
                <c:pt idx="29">
                  <c:v>877.33333333333337</c:v>
                </c:pt>
                <c:pt idx="30">
                  <c:v>882</c:v>
                </c:pt>
                <c:pt idx="31">
                  <c:v>883.33333333333337</c:v>
                </c:pt>
                <c:pt idx="32">
                  <c:v>887.66666666666663</c:v>
                </c:pt>
                <c:pt idx="33">
                  <c:v>890.66666666666663</c:v>
                </c:pt>
                <c:pt idx="34">
                  <c:v>892</c:v>
                </c:pt>
                <c:pt idx="35">
                  <c:v>898.33333333333337</c:v>
                </c:pt>
                <c:pt idx="36">
                  <c:v>899.33333333333337</c:v>
                </c:pt>
                <c:pt idx="37">
                  <c:v>899</c:v>
                </c:pt>
                <c:pt idx="38">
                  <c:v>901</c:v>
                </c:pt>
                <c:pt idx="39">
                  <c:v>903</c:v>
                </c:pt>
                <c:pt idx="40">
                  <c:v>903.33333333333337</c:v>
                </c:pt>
                <c:pt idx="41">
                  <c:v>902.66666666666663</c:v>
                </c:pt>
                <c:pt idx="42">
                  <c:v>904.33333333333337</c:v>
                </c:pt>
                <c:pt idx="43">
                  <c:v>904.66666666666663</c:v>
                </c:pt>
                <c:pt idx="44">
                  <c:v>908</c:v>
                </c:pt>
                <c:pt idx="45">
                  <c:v>906.66666666666663</c:v>
                </c:pt>
                <c:pt idx="46">
                  <c:v>907.33333333333337</c:v>
                </c:pt>
                <c:pt idx="47">
                  <c:v>905</c:v>
                </c:pt>
                <c:pt idx="48">
                  <c:v>902.66666666666663</c:v>
                </c:pt>
                <c:pt idx="49">
                  <c:v>900.66666666666663</c:v>
                </c:pt>
                <c:pt idx="50">
                  <c:v>897</c:v>
                </c:pt>
                <c:pt idx="51">
                  <c:v>899.33333333333337</c:v>
                </c:pt>
              </c:numCache>
            </c:numRef>
          </c:val>
          <c:smooth val="0"/>
          <c:extLst>
            <c:ext xmlns:c16="http://schemas.microsoft.com/office/drawing/2014/chart" uri="{C3380CC4-5D6E-409C-BE32-E72D297353CC}">
              <c16:uniqueId val="{00000000-B397-4EA5-9627-3F749D657C3F}"/>
            </c:ext>
          </c:extLst>
        </c:ser>
        <c:ser>
          <c:idx val="1"/>
          <c:order val="1"/>
          <c:tx>
            <c:v>2019</c:v>
          </c:tx>
          <c:spPr>
            <a:ln w="28575" cap="rnd">
              <a:solidFill>
                <a:schemeClr val="accent4"/>
              </a:solidFill>
              <a:round/>
            </a:ln>
            <a:effectLst/>
          </c:spPr>
          <c:marker>
            <c:symbol val="none"/>
          </c:marker>
          <c:val>
            <c:numRef>
              <c:f>A!$D$1727:$D$1778</c:f>
              <c:numCache>
                <c:formatCode>General</c:formatCode>
                <c:ptCount val="52"/>
                <c:pt idx="0">
                  <c:v>892</c:v>
                </c:pt>
                <c:pt idx="1">
                  <c:v>883</c:v>
                </c:pt>
                <c:pt idx="2">
                  <c:v>886</c:v>
                </c:pt>
                <c:pt idx="3">
                  <c:v>888</c:v>
                </c:pt>
                <c:pt idx="4">
                  <c:v>885</c:v>
                </c:pt>
                <c:pt idx="5">
                  <c:v>885</c:v>
                </c:pt>
                <c:pt idx="6">
                  <c:v>879</c:v>
                </c:pt>
                <c:pt idx="7">
                  <c:v>874</c:v>
                </c:pt>
                <c:pt idx="8">
                  <c:v>874</c:v>
                </c:pt>
                <c:pt idx="9">
                  <c:v>871</c:v>
                </c:pt>
                <c:pt idx="10">
                  <c:v>865</c:v>
                </c:pt>
                <c:pt idx="11">
                  <c:v>866</c:v>
                </c:pt>
                <c:pt idx="12">
                  <c:v>865</c:v>
                </c:pt>
                <c:pt idx="13">
                  <c:v>865</c:v>
                </c:pt>
                <c:pt idx="14">
                  <c:v>864</c:v>
                </c:pt>
                <c:pt idx="15">
                  <c:v>857</c:v>
                </c:pt>
                <c:pt idx="16">
                  <c:v>854</c:v>
                </c:pt>
                <c:pt idx="17">
                  <c:v>852</c:v>
                </c:pt>
                <c:pt idx="18">
                  <c:v>852</c:v>
                </c:pt>
                <c:pt idx="19">
                  <c:v>849</c:v>
                </c:pt>
                <c:pt idx="20">
                  <c:v>842</c:v>
                </c:pt>
                <c:pt idx="21">
                  <c:v>842</c:v>
                </c:pt>
                <c:pt idx="22">
                  <c:v>846</c:v>
                </c:pt>
                <c:pt idx="23">
                  <c:v>849</c:v>
                </c:pt>
                <c:pt idx="24">
                  <c:v>854</c:v>
                </c:pt>
                <c:pt idx="25">
                  <c:v>854</c:v>
                </c:pt>
                <c:pt idx="26">
                  <c:v>861</c:v>
                </c:pt>
                <c:pt idx="27">
                  <c:v>865</c:v>
                </c:pt>
                <c:pt idx="28">
                  <c:v>866</c:v>
                </c:pt>
                <c:pt idx="29">
                  <c:v>869</c:v>
                </c:pt>
                <c:pt idx="30">
                  <c:v>872</c:v>
                </c:pt>
                <c:pt idx="31">
                  <c:v>878</c:v>
                </c:pt>
                <c:pt idx="32">
                  <c:v>881</c:v>
                </c:pt>
                <c:pt idx="33">
                  <c:v>884</c:v>
                </c:pt>
                <c:pt idx="34">
                  <c:v>884</c:v>
                </c:pt>
                <c:pt idx="35">
                  <c:v>893</c:v>
                </c:pt>
                <c:pt idx="36">
                  <c:v>891</c:v>
                </c:pt>
                <c:pt idx="37">
                  <c:v>896</c:v>
                </c:pt>
                <c:pt idx="38">
                  <c:v>898</c:v>
                </c:pt>
                <c:pt idx="39">
                  <c:v>899</c:v>
                </c:pt>
                <c:pt idx="40">
                  <c:v>901</c:v>
                </c:pt>
                <c:pt idx="41">
                  <c:v>900</c:v>
                </c:pt>
                <c:pt idx="42">
                  <c:v>906</c:v>
                </c:pt>
                <c:pt idx="43">
                  <c:v>903</c:v>
                </c:pt>
                <c:pt idx="44">
                  <c:v>908</c:v>
                </c:pt>
                <c:pt idx="45">
                  <c:v>912</c:v>
                </c:pt>
                <c:pt idx="46">
                  <c:v>911</c:v>
                </c:pt>
                <c:pt idx="47">
                  <c:v>911</c:v>
                </c:pt>
                <c:pt idx="48">
                  <c:v>906</c:v>
                </c:pt>
                <c:pt idx="49">
                  <c:v>904</c:v>
                </c:pt>
                <c:pt idx="50">
                  <c:v>904</c:v>
                </c:pt>
                <c:pt idx="51">
                  <c:v>905</c:v>
                </c:pt>
              </c:numCache>
            </c:numRef>
          </c:val>
          <c:smooth val="0"/>
          <c:extLst>
            <c:ext xmlns:c16="http://schemas.microsoft.com/office/drawing/2014/chart" uri="{C3380CC4-5D6E-409C-BE32-E72D297353CC}">
              <c16:uniqueId val="{00000001-B397-4EA5-9627-3F749D657C3F}"/>
            </c:ext>
          </c:extLst>
        </c:ser>
        <c:ser>
          <c:idx val="2"/>
          <c:order val="2"/>
          <c:tx>
            <c:v>2020</c:v>
          </c:tx>
          <c:spPr>
            <a:ln w="28575" cap="rnd">
              <a:solidFill>
                <a:schemeClr val="accent2"/>
              </a:solidFill>
              <a:round/>
            </a:ln>
            <a:effectLst/>
          </c:spPr>
          <c:marker>
            <c:symbol val="square"/>
            <c:size val="5"/>
            <c:spPr>
              <a:solidFill>
                <a:schemeClr val="accent2"/>
              </a:solidFill>
              <a:ln w="9525">
                <a:solidFill>
                  <a:schemeClr val="accent2"/>
                </a:solidFill>
              </a:ln>
              <a:effectLst/>
            </c:spPr>
          </c:marker>
          <c:val>
            <c:numRef>
              <c:f>A!$D$1779:$D$1831</c:f>
              <c:numCache>
                <c:formatCode>General</c:formatCode>
                <c:ptCount val="53"/>
                <c:pt idx="0">
                  <c:v>912</c:v>
                </c:pt>
                <c:pt idx="1">
                  <c:v>904</c:v>
                </c:pt>
                <c:pt idx="2">
                  <c:v>907</c:v>
                </c:pt>
                <c:pt idx="3">
                  <c:v>901</c:v>
                </c:pt>
                <c:pt idx="4">
                  <c:v>897</c:v>
                </c:pt>
                <c:pt idx="5">
                  <c:v>903</c:v>
                </c:pt>
                <c:pt idx="6">
                  <c:v>905</c:v>
                </c:pt>
                <c:pt idx="7">
                  <c:v>900</c:v>
                </c:pt>
                <c:pt idx="8">
                  <c:v>897</c:v>
                </c:pt>
                <c:pt idx="9">
                  <c:v>903</c:v>
                </c:pt>
                <c:pt idx="10">
                  <c:v>901</c:v>
                </c:pt>
                <c:pt idx="11">
                  <c:v>898</c:v>
                </c:pt>
                <c:pt idx="12">
                  <c:v>891</c:v>
                </c:pt>
                <c:pt idx="13">
                  <c:v>889</c:v>
                </c:pt>
                <c:pt idx="14">
                  <c:v>886</c:v>
                </c:pt>
                <c:pt idx="15">
                  <c:v>889</c:v>
                </c:pt>
                <c:pt idx="16">
                  <c:v>891</c:v>
                </c:pt>
                <c:pt idx="17">
                  <c:v>893</c:v>
                </c:pt>
                <c:pt idx="18">
                  <c:v>896</c:v>
                </c:pt>
                <c:pt idx="19">
                  <c:v>901</c:v>
                </c:pt>
                <c:pt idx="20">
                  <c:v>894</c:v>
                </c:pt>
                <c:pt idx="21">
                  <c:v>891</c:v>
                </c:pt>
                <c:pt idx="22">
                  <c:v>892</c:v>
                </c:pt>
              </c:numCache>
            </c:numRef>
          </c:val>
          <c:smooth val="0"/>
          <c:extLst>
            <c:ext xmlns:c16="http://schemas.microsoft.com/office/drawing/2014/chart" uri="{C3380CC4-5D6E-409C-BE32-E72D297353CC}">
              <c16:uniqueId val="{00000002-B397-4EA5-9627-3F749D657C3F}"/>
            </c:ext>
          </c:extLst>
        </c:ser>
        <c:dLbls>
          <c:showLegendKey val="0"/>
          <c:showVal val="0"/>
          <c:showCatName val="0"/>
          <c:showSerName val="0"/>
          <c:showPercent val="0"/>
          <c:showBubbleSize val="0"/>
        </c:dLbls>
        <c:smooth val="0"/>
        <c:axId val="1811696000"/>
        <c:axId val="1"/>
      </c:lineChart>
      <c:catAx>
        <c:axId val="1811696000"/>
        <c:scaling>
          <c:orientation val="minMax"/>
        </c:scaling>
        <c:delete val="0"/>
        <c:axPos val="b"/>
        <c:title>
          <c:tx>
            <c:rich>
              <a:bodyPr/>
              <a:lstStyle/>
              <a:p>
                <a:pPr>
                  <a:defRPr/>
                </a:pPr>
                <a:r>
                  <a:rPr lang="en-US"/>
                  <a:t>Week</a:t>
                </a:r>
              </a:p>
            </c:rich>
          </c:tx>
          <c:overlay val="0"/>
          <c:spPr>
            <a:noFill/>
            <a:ln w="25400">
              <a:noFill/>
            </a:ln>
          </c:spPr>
        </c:title>
        <c:numFmt formatCode="General" sourceLinked="1"/>
        <c:majorTickMark val="out"/>
        <c:minorTickMark val="none"/>
        <c:tickLblPos val="nextTo"/>
        <c:spPr>
          <a:noFill/>
          <a:ln w="9525" cap="flat" cmpd="sng" algn="ctr">
            <a:solidFill>
              <a:schemeClr val="tx1"/>
            </a:solidFill>
            <a:round/>
          </a:ln>
          <a:effectLst/>
        </c:spPr>
        <c:txPr>
          <a:bodyPr rot="0" vert="horz"/>
          <a:lstStyle/>
          <a:p>
            <a:pPr>
              <a:defRPr/>
            </a:pPr>
            <a:endParaRPr lang="en-US"/>
          </a:p>
        </c:txPr>
        <c:crossAx val="1"/>
        <c:crosses val="autoZero"/>
        <c:auto val="1"/>
        <c:lblAlgn val="ctr"/>
        <c:lblOffset val="100"/>
        <c:tickLblSkip val="3"/>
        <c:noMultiLvlLbl val="0"/>
      </c:catAx>
      <c:valAx>
        <c:axId val="1"/>
        <c:scaling>
          <c:orientation val="minMax"/>
        </c:scaling>
        <c:delete val="0"/>
        <c:axPos val="l"/>
        <c:title>
          <c:tx>
            <c:rich>
              <a:bodyPr/>
              <a:lstStyle/>
              <a:p>
                <a:pPr>
                  <a:defRPr/>
                </a:pPr>
                <a:r>
                  <a:rPr lang="en-US"/>
                  <a:t>Lbs/head, dressed</a:t>
                </a:r>
              </a:p>
            </c:rich>
          </c:tx>
          <c:overlay val="0"/>
          <c:spPr>
            <a:noFill/>
            <a:ln w="25400">
              <a:noFill/>
            </a:ln>
          </c:spPr>
        </c:title>
        <c:numFmt formatCode="0" sourceLinked="1"/>
        <c:majorTickMark val="none"/>
        <c:minorTickMark val="none"/>
        <c:tickLblPos val="nextTo"/>
        <c:spPr>
          <a:ln w="6350">
            <a:solidFill>
              <a:schemeClr val="tx1"/>
            </a:solidFill>
          </a:ln>
        </c:spPr>
        <c:txPr>
          <a:bodyPr rot="0" vert="horz"/>
          <a:lstStyle/>
          <a:p>
            <a:pPr>
              <a:defRPr/>
            </a:pPr>
            <a:endParaRPr lang="en-US"/>
          </a:p>
        </c:txPr>
        <c:crossAx val="1811696000"/>
        <c:crosses val="autoZero"/>
        <c:crossBetween val="between"/>
      </c:valAx>
      <c:spPr>
        <a:noFill/>
        <a:ln w="25400">
          <a:noFill/>
        </a:ln>
      </c:spPr>
    </c:plotArea>
    <c:legend>
      <c:legendPos val="b"/>
      <c:layout>
        <c:manualLayout>
          <c:xMode val="edge"/>
          <c:yMode val="edge"/>
          <c:x val="0.2332941181677754"/>
          <c:y val="0.89393849353736443"/>
          <c:w val="0.63234357088163307"/>
          <c:h val="8.0904273758233045E-2"/>
        </c:manualLayout>
      </c:layout>
      <c:overlay val="0"/>
      <c:spPr>
        <a:noFill/>
        <a:ln w="25400">
          <a:noFill/>
        </a:ln>
      </c:spPr>
    </c:legend>
    <c:plotVisOnly val="1"/>
    <c:dispBlanksAs val="gap"/>
    <c:showDLblsOverMax val="0"/>
  </c:chart>
  <c:spPr>
    <a:solidFill>
      <a:schemeClr val="bg1"/>
    </a:solidFill>
    <a:ln w="9525" cap="flat" cmpd="sng" algn="ctr">
      <a:noFill/>
      <a:round/>
    </a:ln>
    <a:effectLst/>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99064132134996"/>
          <c:y val="4.3833609614587703E-2"/>
          <c:w val="0.83905335065440056"/>
          <c:h val="0.67869851533144321"/>
        </c:manualLayout>
      </c:layout>
      <c:lineChart>
        <c:grouping val="standard"/>
        <c:varyColors val="0"/>
        <c:ser>
          <c:idx val="0"/>
          <c:order val="0"/>
          <c:tx>
            <c:strRef>
              <c:f>'LV STRS'!$G$1472</c:f>
              <c:strCache>
                <c:ptCount val="1"/>
                <c:pt idx="0">
                  <c:v>Avg. 2016-18</c:v>
                </c:pt>
              </c:strCache>
            </c:strRef>
          </c:tx>
          <c:spPr>
            <a:ln>
              <a:prstDash val="sysDash"/>
            </a:ln>
          </c:spPr>
          <c:marker>
            <c:symbol val="none"/>
          </c:marker>
          <c:val>
            <c:numRef>
              <c:f>'LV STRS'!$H$1472:$H$1523</c:f>
              <c:numCache>
                <c:formatCode>##0.00</c:formatCode>
                <c:ptCount val="52"/>
                <c:pt idx="0">
                  <c:v>123.84666483561197</c:v>
                </c:pt>
                <c:pt idx="1">
                  <c:v>123.99666666666667</c:v>
                </c:pt>
                <c:pt idx="2">
                  <c:v>126.16666666666667</c:v>
                </c:pt>
                <c:pt idx="3">
                  <c:v>128.01333353678385</c:v>
                </c:pt>
                <c:pt idx="4">
                  <c:v>126.37666890462241</c:v>
                </c:pt>
                <c:pt idx="5">
                  <c:v>125.8199991861979</c:v>
                </c:pt>
                <c:pt idx="6">
                  <c:v>127.65666829427084</c:v>
                </c:pt>
                <c:pt idx="7">
                  <c:v>129.45666809082033</c:v>
                </c:pt>
                <c:pt idx="8">
                  <c:v>129.09333150227863</c:v>
                </c:pt>
                <c:pt idx="9">
                  <c:v>129.98333089192707</c:v>
                </c:pt>
                <c:pt idx="10">
                  <c:v>131.91</c:v>
                </c:pt>
                <c:pt idx="11">
                  <c:v>130.97666666666666</c:v>
                </c:pt>
                <c:pt idx="12">
                  <c:v>127.38999999999999</c:v>
                </c:pt>
                <c:pt idx="13">
                  <c:v>124.98666463216146</c:v>
                </c:pt>
                <c:pt idx="14">
                  <c:v>127.16333516438802</c:v>
                </c:pt>
                <c:pt idx="15">
                  <c:v>126.58666666666666</c:v>
                </c:pt>
                <c:pt idx="16">
                  <c:v>127.91333363850912</c:v>
                </c:pt>
                <c:pt idx="17">
                  <c:v>131.99999877929687</c:v>
                </c:pt>
                <c:pt idx="18">
                  <c:v>130.4966658528646</c:v>
                </c:pt>
                <c:pt idx="19">
                  <c:v>126.58</c:v>
                </c:pt>
                <c:pt idx="20">
                  <c:v>122.18333333333334</c:v>
                </c:pt>
                <c:pt idx="21">
                  <c:v>125.37</c:v>
                </c:pt>
                <c:pt idx="22">
                  <c:v>126.08333333333333</c:v>
                </c:pt>
                <c:pt idx="23">
                  <c:v>120.66333333333334</c:v>
                </c:pt>
                <c:pt idx="24">
                  <c:v>115.66000000000001</c:v>
                </c:pt>
                <c:pt idx="25">
                  <c:v>116.00333333333333</c:v>
                </c:pt>
                <c:pt idx="26">
                  <c:v>116.74333333333333</c:v>
                </c:pt>
                <c:pt idx="27">
                  <c:v>115.67333333333333</c:v>
                </c:pt>
                <c:pt idx="28">
                  <c:v>115.52666666666666</c:v>
                </c:pt>
                <c:pt idx="29">
                  <c:v>115.29666666666667</c:v>
                </c:pt>
                <c:pt idx="30">
                  <c:v>116.39999999999999</c:v>
                </c:pt>
                <c:pt idx="31">
                  <c:v>114.83333333333333</c:v>
                </c:pt>
                <c:pt idx="32">
                  <c:v>112.36666666666667</c:v>
                </c:pt>
                <c:pt idx="33">
                  <c:v>110.13333333333333</c:v>
                </c:pt>
                <c:pt idx="34">
                  <c:v>107.17333333333333</c:v>
                </c:pt>
                <c:pt idx="35">
                  <c:v>105.87</c:v>
                </c:pt>
                <c:pt idx="36">
                  <c:v>108.63666666666667</c:v>
                </c:pt>
                <c:pt idx="37">
                  <c:v>108.33333333333333</c:v>
                </c:pt>
                <c:pt idx="38">
                  <c:v>107.10333333333335</c:v>
                </c:pt>
                <c:pt idx="39">
                  <c:v>107.10000000000001</c:v>
                </c:pt>
                <c:pt idx="40">
                  <c:v>106.37333333333333</c:v>
                </c:pt>
                <c:pt idx="41">
                  <c:v>106.72000000000001</c:v>
                </c:pt>
                <c:pt idx="42">
                  <c:v>111.64666666666669</c:v>
                </c:pt>
                <c:pt idx="43">
                  <c:v>114.26333333333334</c:v>
                </c:pt>
                <c:pt idx="44">
                  <c:v>113.37</c:v>
                </c:pt>
                <c:pt idx="45">
                  <c:v>113.42</c:v>
                </c:pt>
                <c:pt idx="46">
                  <c:v>115.13666666666667</c:v>
                </c:pt>
                <c:pt idx="47">
                  <c:v>117.23666666666668</c:v>
                </c:pt>
                <c:pt idx="48">
                  <c:v>115.02999999999999</c:v>
                </c:pt>
                <c:pt idx="49">
                  <c:v>116.41333333333334</c:v>
                </c:pt>
                <c:pt idx="50">
                  <c:v>117.97333333333334</c:v>
                </c:pt>
                <c:pt idx="51">
                  <c:v>120.93333333333334</c:v>
                </c:pt>
              </c:numCache>
            </c:numRef>
          </c:val>
          <c:smooth val="0"/>
          <c:extLst>
            <c:ext xmlns:c16="http://schemas.microsoft.com/office/drawing/2014/chart" uri="{C3380CC4-5D6E-409C-BE32-E72D297353CC}">
              <c16:uniqueId val="{00000000-E12C-4538-AB5C-07E03F48E459}"/>
            </c:ext>
          </c:extLst>
        </c:ser>
        <c:ser>
          <c:idx val="1"/>
          <c:order val="1"/>
          <c:tx>
            <c:strRef>
              <c:f>'LV STRS'!$C$1524</c:f>
              <c:strCache>
                <c:ptCount val="1"/>
                <c:pt idx="0">
                  <c:v>2019</c:v>
                </c:pt>
              </c:strCache>
            </c:strRef>
          </c:tx>
          <c:spPr>
            <a:ln>
              <a:solidFill>
                <a:schemeClr val="accent4"/>
              </a:solidFill>
            </a:ln>
          </c:spPr>
          <c:marker>
            <c:symbol val="none"/>
          </c:marker>
          <c:val>
            <c:numRef>
              <c:f>'LV STRS'!$D$1524:$D$1575</c:f>
              <c:numCache>
                <c:formatCode>General</c:formatCode>
                <c:ptCount val="52"/>
                <c:pt idx="0">
                  <c:v>122.55</c:v>
                </c:pt>
                <c:pt idx="1">
                  <c:v>123.71</c:v>
                </c:pt>
                <c:pt idx="2">
                  <c:v>123.98</c:v>
                </c:pt>
                <c:pt idx="3">
                  <c:v>123.29</c:v>
                </c:pt>
                <c:pt idx="4">
                  <c:v>123.87</c:v>
                </c:pt>
                <c:pt idx="5">
                  <c:v>124.98</c:v>
                </c:pt>
                <c:pt idx="6">
                  <c:v>124.96</c:v>
                </c:pt>
                <c:pt idx="7">
                  <c:v>126.36</c:v>
                </c:pt>
                <c:pt idx="8">
                  <c:v>128.22</c:v>
                </c:pt>
                <c:pt idx="9">
                  <c:v>128.15</c:v>
                </c:pt>
                <c:pt idx="10">
                  <c:v>127.14</c:v>
                </c:pt>
                <c:pt idx="11">
                  <c:v>128.96</c:v>
                </c:pt>
                <c:pt idx="12">
                  <c:v>126.34</c:v>
                </c:pt>
                <c:pt idx="13">
                  <c:v>125.3</c:v>
                </c:pt>
                <c:pt idx="14">
                  <c:v>126.19</c:v>
                </c:pt>
                <c:pt idx="15">
                  <c:v>128.41999999999999</c:v>
                </c:pt>
                <c:pt idx="16">
                  <c:v>126.69</c:v>
                </c:pt>
                <c:pt idx="17">
                  <c:v>123.76</c:v>
                </c:pt>
                <c:pt idx="18">
                  <c:v>120.34</c:v>
                </c:pt>
                <c:pt idx="19">
                  <c:v>116.65</c:v>
                </c:pt>
                <c:pt idx="20">
                  <c:v>115.78</c:v>
                </c:pt>
                <c:pt idx="21">
                  <c:v>115.74</c:v>
                </c:pt>
                <c:pt idx="22">
                  <c:v>113.76</c:v>
                </c:pt>
                <c:pt idx="23">
                  <c:v>113.62</c:v>
                </c:pt>
                <c:pt idx="24">
                  <c:v>110.48</c:v>
                </c:pt>
                <c:pt idx="25">
                  <c:v>110.13</c:v>
                </c:pt>
                <c:pt idx="26">
                  <c:v>111.24</c:v>
                </c:pt>
                <c:pt idx="27">
                  <c:v>113.37</c:v>
                </c:pt>
                <c:pt idx="28">
                  <c:v>113.02</c:v>
                </c:pt>
                <c:pt idx="29">
                  <c:v>113.68</c:v>
                </c:pt>
                <c:pt idx="30">
                  <c:v>113.82</c:v>
                </c:pt>
                <c:pt idx="31">
                  <c:v>112.37</c:v>
                </c:pt>
                <c:pt idx="32">
                  <c:v>106.68</c:v>
                </c:pt>
                <c:pt idx="33">
                  <c:v>107.12</c:v>
                </c:pt>
                <c:pt idx="34">
                  <c:v>105.59</c:v>
                </c:pt>
                <c:pt idx="35">
                  <c:v>101.73</c:v>
                </c:pt>
                <c:pt idx="36">
                  <c:v>100.07</c:v>
                </c:pt>
                <c:pt idx="37">
                  <c:v>101.92</c:v>
                </c:pt>
                <c:pt idx="38">
                  <c:v>104.93</c:v>
                </c:pt>
                <c:pt idx="39">
                  <c:v>107.34</c:v>
                </c:pt>
                <c:pt idx="40">
                  <c:v>109.21</c:v>
                </c:pt>
                <c:pt idx="41">
                  <c:v>109.73</c:v>
                </c:pt>
                <c:pt idx="42">
                  <c:v>110.13</c:v>
                </c:pt>
                <c:pt idx="43">
                  <c:v>113.03</c:v>
                </c:pt>
                <c:pt idx="44">
                  <c:v>114.6</c:v>
                </c:pt>
                <c:pt idx="45">
                  <c:v>115.19</c:v>
                </c:pt>
                <c:pt idx="46">
                  <c:v>115.96</c:v>
                </c:pt>
                <c:pt idx="47">
                  <c:v>118.21</c:v>
                </c:pt>
                <c:pt idx="48" formatCode="##0.00">
                  <c:v>118.91999816894531</c:v>
                </c:pt>
                <c:pt idx="49" formatCode="##0.00">
                  <c:v>119.16999816894531</c:v>
                </c:pt>
                <c:pt idx="50" formatCode="##0.00">
                  <c:v>120.36000061035156</c:v>
                </c:pt>
                <c:pt idx="51" formatCode="##0.00">
                  <c:v>122.27999877929688</c:v>
                </c:pt>
              </c:numCache>
            </c:numRef>
          </c:val>
          <c:smooth val="0"/>
          <c:extLst>
            <c:ext xmlns:c16="http://schemas.microsoft.com/office/drawing/2014/chart" uri="{C3380CC4-5D6E-409C-BE32-E72D297353CC}">
              <c16:uniqueId val="{00000001-E12C-4538-AB5C-07E03F48E459}"/>
            </c:ext>
          </c:extLst>
        </c:ser>
        <c:ser>
          <c:idx val="2"/>
          <c:order val="2"/>
          <c:tx>
            <c:strRef>
              <c:f>'LV STRS'!$C$1576</c:f>
              <c:strCache>
                <c:ptCount val="1"/>
                <c:pt idx="0">
                  <c:v>2020</c:v>
                </c:pt>
              </c:strCache>
            </c:strRef>
          </c:tx>
          <c:spPr>
            <a:ln>
              <a:solidFill>
                <a:schemeClr val="accent2"/>
              </a:solidFill>
            </a:ln>
          </c:spPr>
          <c:marker>
            <c:symbol val="square"/>
            <c:size val="5"/>
            <c:spPr>
              <a:solidFill>
                <a:schemeClr val="accent2"/>
              </a:solidFill>
              <a:ln>
                <a:solidFill>
                  <a:schemeClr val="accent2"/>
                </a:solidFill>
              </a:ln>
            </c:spPr>
          </c:marker>
          <c:val>
            <c:numRef>
              <c:f>'LV STRS'!$D$1576:$D$1627</c:f>
              <c:numCache>
                <c:formatCode>##0.00</c:formatCode>
                <c:ptCount val="52"/>
                <c:pt idx="0">
                  <c:v>124.20999908447266</c:v>
                </c:pt>
                <c:pt idx="1">
                  <c:v>124.47000122070313</c:v>
                </c:pt>
                <c:pt idx="2">
                  <c:v>124.02999877929688</c:v>
                </c:pt>
                <c:pt idx="3">
                  <c:v>124.30000305175781</c:v>
                </c:pt>
                <c:pt idx="4" formatCode="General">
                  <c:v>122.04000091552734</c:v>
                </c:pt>
                <c:pt idx="5" formatCode="General">
                  <c:v>121.05000305175781</c:v>
                </c:pt>
                <c:pt idx="6" formatCode="General">
                  <c:v>118.90000152587891</c:v>
                </c:pt>
                <c:pt idx="7" formatCode="General">
                  <c:v>119.70999908447266</c:v>
                </c:pt>
                <c:pt idx="8" formatCode="General">
                  <c:v>114.84999847412109</c:v>
                </c:pt>
                <c:pt idx="9" formatCode="General">
                  <c:v>113.16999816894531</c:v>
                </c:pt>
                <c:pt idx="10" formatCode="General">
                  <c:v>108.83999633789063</c:v>
                </c:pt>
                <c:pt idx="11" formatCode="General">
                  <c:v>109.89</c:v>
                </c:pt>
                <c:pt idx="12" formatCode="General">
                  <c:v>119.31</c:v>
                </c:pt>
                <c:pt idx="13" formatCode="General">
                  <c:v>111.08</c:v>
                </c:pt>
                <c:pt idx="14" formatCode="General">
                  <c:v>105</c:v>
                </c:pt>
                <c:pt idx="15" formatCode="General">
                  <c:v>102.28</c:v>
                </c:pt>
                <c:pt idx="16" formatCode="General">
                  <c:v>96.69</c:v>
                </c:pt>
                <c:pt idx="17" formatCode="General">
                  <c:v>98.18</c:v>
                </c:pt>
                <c:pt idx="18" formatCode="General">
                  <c:v>104.5</c:v>
                </c:pt>
                <c:pt idx="19" formatCode="General">
                  <c:v>112.31</c:v>
                </c:pt>
                <c:pt idx="20" formatCode="General">
                  <c:v>117.06</c:v>
                </c:pt>
                <c:pt idx="21" formatCode="General">
                  <c:v>115.71</c:v>
                </c:pt>
                <c:pt idx="22" formatCode="General">
                  <c:v>112.38999938964844</c:v>
                </c:pt>
                <c:pt idx="23" formatCode="General">
                  <c:v>104.47</c:v>
                </c:pt>
                <c:pt idx="24" formatCode="General">
                  <c:v>100.78</c:v>
                </c:pt>
              </c:numCache>
            </c:numRef>
          </c:val>
          <c:smooth val="0"/>
          <c:extLst>
            <c:ext xmlns:c16="http://schemas.microsoft.com/office/drawing/2014/chart" uri="{C3380CC4-5D6E-409C-BE32-E72D297353CC}">
              <c16:uniqueId val="{00000002-E12C-4538-AB5C-07E03F48E459}"/>
            </c:ext>
          </c:extLst>
        </c:ser>
        <c:dLbls>
          <c:showLegendKey val="0"/>
          <c:showVal val="0"/>
          <c:showCatName val="0"/>
          <c:showSerName val="0"/>
          <c:showPercent val="0"/>
          <c:showBubbleSize val="0"/>
        </c:dLbls>
        <c:smooth val="0"/>
        <c:axId val="329604432"/>
        <c:axId val="329604992"/>
      </c:lineChart>
      <c:catAx>
        <c:axId val="329604432"/>
        <c:scaling>
          <c:orientation val="minMax"/>
        </c:scaling>
        <c:delete val="0"/>
        <c:axPos val="b"/>
        <c:title>
          <c:tx>
            <c:rich>
              <a:bodyPr/>
              <a:lstStyle/>
              <a:p>
                <a:pPr>
                  <a:defRPr/>
                </a:pPr>
                <a:r>
                  <a:rPr lang="en-US"/>
                  <a:t>Week</a:t>
                </a:r>
              </a:p>
            </c:rich>
          </c:tx>
          <c:overlay val="0"/>
        </c:title>
        <c:majorTickMark val="out"/>
        <c:minorTickMark val="none"/>
        <c:tickLblPos val="nextTo"/>
        <c:crossAx val="329604992"/>
        <c:crosses val="autoZero"/>
        <c:auto val="1"/>
        <c:lblAlgn val="ctr"/>
        <c:lblOffset val="100"/>
        <c:tickLblSkip val="3"/>
        <c:noMultiLvlLbl val="0"/>
      </c:catAx>
      <c:valAx>
        <c:axId val="329604992"/>
        <c:scaling>
          <c:orientation val="minMax"/>
          <c:min val="90"/>
        </c:scaling>
        <c:delete val="0"/>
        <c:axPos val="l"/>
        <c:title>
          <c:tx>
            <c:rich>
              <a:bodyPr rot="-5400000" vert="horz"/>
              <a:lstStyle/>
              <a:p>
                <a:pPr>
                  <a:defRPr b="0"/>
                </a:pPr>
                <a:r>
                  <a:rPr lang="en-US" b="0"/>
                  <a:t>$/cwt</a:t>
                </a:r>
              </a:p>
            </c:rich>
          </c:tx>
          <c:layout>
            <c:manualLayout>
              <c:xMode val="edge"/>
              <c:yMode val="edge"/>
              <c:x val="2.02096202621137E-2"/>
              <c:y val="0.31527053094266833"/>
            </c:manualLayout>
          </c:layout>
          <c:overlay val="0"/>
        </c:title>
        <c:numFmt formatCode="0" sourceLinked="0"/>
        <c:majorTickMark val="out"/>
        <c:minorTickMark val="none"/>
        <c:tickLblPos val="nextTo"/>
        <c:crossAx val="329604432"/>
        <c:crosses val="autoZero"/>
        <c:crossBetween val="between"/>
      </c:valAx>
    </c:plotArea>
    <c:legend>
      <c:legendPos val="b"/>
      <c:layout>
        <c:manualLayout>
          <c:xMode val="edge"/>
          <c:yMode val="edge"/>
          <c:x val="0.27264554347722925"/>
          <c:y val="0.91310539617984965"/>
          <c:w val="0.55559061759065487"/>
          <c:h val="7.2951624569727994E-2"/>
        </c:manualLayout>
      </c:layout>
      <c:overlay val="0"/>
    </c:legend>
    <c:plotVisOnly val="1"/>
    <c:dispBlanksAs val="gap"/>
    <c:showDLblsOverMax val="0"/>
  </c:chart>
  <c:spPr>
    <a:ln>
      <a:noFill/>
    </a:ln>
  </c:spPr>
  <c:txPr>
    <a:bodyPr/>
    <a:lstStyle/>
    <a:p>
      <a:pPr>
        <a:defRPr sz="11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227D5-C887-4664-BEEB-E18F3579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6</cp:revision>
  <dcterms:created xsi:type="dcterms:W3CDTF">2020-06-22T14:51:00Z</dcterms:created>
  <dcterms:modified xsi:type="dcterms:W3CDTF">2020-06-23T14:53:00Z</dcterms:modified>
</cp:coreProperties>
</file>