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3515" w14:textId="253376A7" w:rsidR="00096AD6" w:rsidRDefault="00096AD6" w:rsidP="002F3C19">
      <w:pPr>
        <w:shd w:val="clear" w:color="auto" w:fill="FFFFFF"/>
        <w:spacing w:after="0" w:line="240" w:lineRule="auto"/>
        <w:jc w:val="center"/>
        <w:rPr>
          <w:rFonts w:ascii="Cambria" w:eastAsia="Times New Roman" w:hAnsi="Cambria" w:cs="Times New Roman"/>
          <w:b/>
          <w:sz w:val="72"/>
          <w:szCs w:val="72"/>
        </w:rPr>
      </w:pPr>
      <w:r>
        <w:rPr>
          <w:rFonts w:ascii="Cambria" w:eastAsia="Times New Roman" w:hAnsi="Cambria" w:cs="Times New Roman"/>
          <w:b/>
          <w:noProof/>
          <w:sz w:val="72"/>
          <w:szCs w:val="72"/>
        </w:rPr>
        <w:drawing>
          <wp:inline distT="0" distB="0" distL="0" distR="0" wp14:anchorId="425BA76E" wp14:editId="50B8E103">
            <wp:extent cx="3510547" cy="66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olor-left_lg.png"/>
                    <pic:cNvPicPr/>
                  </pic:nvPicPr>
                  <pic:blipFill>
                    <a:blip r:embed="rId4">
                      <a:extLst>
                        <a:ext uri="{28A0092B-C50C-407E-A947-70E740481C1C}">
                          <a14:useLocalDpi xmlns:a14="http://schemas.microsoft.com/office/drawing/2010/main" val="0"/>
                        </a:ext>
                      </a:extLst>
                    </a:blip>
                    <a:stretch>
                      <a:fillRect/>
                    </a:stretch>
                  </pic:blipFill>
                  <pic:spPr>
                    <a:xfrm>
                      <a:off x="0" y="0"/>
                      <a:ext cx="3518281" cy="661855"/>
                    </a:xfrm>
                    <a:prstGeom prst="rect">
                      <a:avLst/>
                    </a:prstGeom>
                  </pic:spPr>
                </pic:pic>
              </a:graphicData>
            </a:graphic>
          </wp:inline>
        </w:drawing>
      </w:r>
    </w:p>
    <w:p w14:paraId="0A6A6748" w14:textId="54788DB2" w:rsidR="00096AD6" w:rsidRDefault="00096AD6" w:rsidP="002F3C19">
      <w:pPr>
        <w:shd w:val="clear" w:color="auto" w:fill="FFFFFF"/>
        <w:spacing w:after="0" w:line="240" w:lineRule="auto"/>
        <w:jc w:val="center"/>
        <w:rPr>
          <w:rFonts w:ascii="Cambria" w:eastAsia="Times New Roman" w:hAnsi="Cambria" w:cs="Times New Roman"/>
          <w:b/>
          <w:sz w:val="72"/>
          <w:szCs w:val="72"/>
        </w:rPr>
      </w:pPr>
    </w:p>
    <w:p w14:paraId="05D9A91F" w14:textId="77777777" w:rsidR="00096AD6" w:rsidRDefault="00096AD6" w:rsidP="002F3C19">
      <w:pPr>
        <w:shd w:val="clear" w:color="auto" w:fill="FFFFFF"/>
        <w:spacing w:after="0" w:line="240" w:lineRule="auto"/>
        <w:jc w:val="center"/>
        <w:rPr>
          <w:rFonts w:ascii="Cambria" w:eastAsia="Times New Roman" w:hAnsi="Cambria" w:cs="Times New Roman"/>
          <w:b/>
          <w:sz w:val="72"/>
          <w:szCs w:val="72"/>
        </w:rPr>
      </w:pPr>
    </w:p>
    <w:p w14:paraId="6A1520EE" w14:textId="2F08F632" w:rsidR="002F3C19" w:rsidRPr="00096AD6" w:rsidRDefault="002F3C19" w:rsidP="002F3C19">
      <w:pPr>
        <w:shd w:val="clear" w:color="auto" w:fill="FFFFFF"/>
        <w:spacing w:after="0" w:line="240" w:lineRule="auto"/>
        <w:jc w:val="center"/>
        <w:rPr>
          <w:rFonts w:ascii="Cambria" w:eastAsia="Times New Roman" w:hAnsi="Cambria" w:cs="Times New Roman"/>
          <w:b/>
          <w:sz w:val="72"/>
          <w:szCs w:val="72"/>
        </w:rPr>
      </w:pPr>
      <w:r w:rsidRPr="00096AD6">
        <w:rPr>
          <w:rFonts w:ascii="Cambria" w:eastAsia="Times New Roman" w:hAnsi="Cambria" w:cs="Times New Roman"/>
          <w:b/>
          <w:sz w:val="72"/>
          <w:szCs w:val="72"/>
        </w:rPr>
        <w:t>COVID-19 Impacts on Arkansas’ Agricultural and Rural Economies</w:t>
      </w:r>
    </w:p>
    <w:p w14:paraId="479D3BD4"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760D0708" w14:textId="77777777" w:rsidR="00FF0C3E" w:rsidRPr="00096AD6" w:rsidRDefault="00FF0C3E" w:rsidP="002F3C19">
      <w:pPr>
        <w:shd w:val="clear" w:color="auto" w:fill="FFFFFF"/>
        <w:spacing w:after="0" w:line="240" w:lineRule="auto"/>
        <w:jc w:val="center"/>
        <w:rPr>
          <w:rFonts w:ascii="Cambria" w:eastAsia="Times New Roman" w:hAnsi="Cambria" w:cs="Times New Roman"/>
          <w:b/>
        </w:rPr>
      </w:pPr>
    </w:p>
    <w:p w14:paraId="6CD3C7FF" w14:textId="77777777" w:rsidR="002F3C19" w:rsidRPr="00096AD6" w:rsidRDefault="002F3C19" w:rsidP="002F3C19">
      <w:pPr>
        <w:shd w:val="clear" w:color="auto" w:fill="FFFFFF"/>
        <w:spacing w:after="0" w:line="240" w:lineRule="auto"/>
        <w:jc w:val="center"/>
        <w:rPr>
          <w:rFonts w:ascii="Cambria" w:eastAsia="Times New Roman" w:hAnsi="Cambria" w:cs="Times New Roman"/>
          <w:b/>
          <w:sz w:val="48"/>
          <w:szCs w:val="48"/>
        </w:rPr>
      </w:pPr>
      <w:r w:rsidRPr="00096AD6">
        <w:rPr>
          <w:rFonts w:ascii="Cambria" w:eastAsia="Times New Roman" w:hAnsi="Cambria" w:cs="Times New Roman"/>
          <w:b/>
          <w:sz w:val="48"/>
          <w:szCs w:val="48"/>
        </w:rPr>
        <w:t xml:space="preserve">UPDATE: </w:t>
      </w:r>
      <w:r w:rsidR="009D0CB6" w:rsidRPr="00096AD6">
        <w:rPr>
          <w:rFonts w:ascii="Cambria" w:eastAsia="Times New Roman" w:hAnsi="Cambria" w:cs="Times New Roman"/>
          <w:b/>
          <w:sz w:val="48"/>
          <w:szCs w:val="48"/>
        </w:rPr>
        <w:t>Livestock and Poultry Slaughter and Prices</w:t>
      </w:r>
    </w:p>
    <w:p w14:paraId="13AC78DA" w14:textId="77777777" w:rsidR="002F3C19" w:rsidRPr="00096AD6" w:rsidRDefault="002F3C19" w:rsidP="002F3C19">
      <w:pPr>
        <w:shd w:val="clear" w:color="auto" w:fill="FFFFFF"/>
        <w:spacing w:after="0" w:line="240" w:lineRule="auto"/>
        <w:rPr>
          <w:rFonts w:ascii="Cambria" w:eastAsia="Times New Roman" w:hAnsi="Cambria" w:cs="Times New Roman"/>
          <w:b/>
        </w:rPr>
      </w:pPr>
    </w:p>
    <w:p w14:paraId="5AA4F65F" w14:textId="77777777" w:rsidR="002F3C19" w:rsidRPr="00096AD6" w:rsidRDefault="002F3C19" w:rsidP="002F3C19">
      <w:pPr>
        <w:shd w:val="clear" w:color="auto" w:fill="FFFFFF"/>
        <w:spacing w:after="0" w:line="240" w:lineRule="auto"/>
        <w:rPr>
          <w:rFonts w:ascii="Cambria" w:eastAsia="Times New Roman" w:hAnsi="Cambria" w:cs="Times New Roman"/>
          <w:b/>
        </w:rPr>
      </w:pPr>
    </w:p>
    <w:p w14:paraId="058C76AD"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r w:rsidRPr="00096AD6">
        <w:rPr>
          <w:rFonts w:ascii="Cambria" w:eastAsia="Times New Roman" w:hAnsi="Cambria" w:cs="Times New Roman"/>
          <w:b/>
        </w:rPr>
        <w:t>Prepared by:</w:t>
      </w:r>
    </w:p>
    <w:p w14:paraId="78B18E5B"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4EAF2C26"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313D87A5"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r w:rsidRPr="00096AD6">
        <w:rPr>
          <w:rFonts w:ascii="Cambria" w:eastAsia="Times New Roman" w:hAnsi="Cambria" w:cs="Times New Roman"/>
          <w:b/>
        </w:rPr>
        <w:t>John Anderson</w:t>
      </w:r>
    </w:p>
    <w:p w14:paraId="2089969E"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r w:rsidRPr="00096AD6">
        <w:rPr>
          <w:rFonts w:ascii="Cambria" w:eastAsia="Times New Roman" w:hAnsi="Cambria" w:cs="Times New Roman"/>
          <w:b/>
        </w:rPr>
        <w:t xml:space="preserve">Department of Agricultural Economics and Agribusiness </w:t>
      </w:r>
    </w:p>
    <w:p w14:paraId="5963DE6C"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6758C9D2"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54436F67"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3A15B4C2" w14:textId="77777777" w:rsidR="002F3C19" w:rsidRPr="00096AD6" w:rsidRDefault="007D1E45" w:rsidP="002F3C19">
      <w:pPr>
        <w:shd w:val="clear" w:color="auto" w:fill="FFFFFF"/>
        <w:spacing w:after="0" w:line="240" w:lineRule="auto"/>
        <w:jc w:val="center"/>
        <w:rPr>
          <w:rFonts w:ascii="Cambria" w:eastAsia="Times New Roman" w:hAnsi="Cambria" w:cs="Times New Roman"/>
          <w:b/>
        </w:rPr>
      </w:pPr>
      <w:r w:rsidRPr="00096AD6">
        <w:rPr>
          <w:rFonts w:ascii="Cambria" w:eastAsia="Times New Roman" w:hAnsi="Cambria" w:cs="Times New Roman"/>
          <w:b/>
        </w:rPr>
        <w:t xml:space="preserve">May </w:t>
      </w:r>
      <w:r w:rsidR="00481294" w:rsidRPr="00096AD6">
        <w:rPr>
          <w:rFonts w:ascii="Cambria" w:eastAsia="Times New Roman" w:hAnsi="Cambria" w:cs="Times New Roman"/>
          <w:b/>
        </w:rPr>
        <w:t>8</w:t>
      </w:r>
      <w:r w:rsidR="002F3C19" w:rsidRPr="00096AD6">
        <w:rPr>
          <w:rFonts w:ascii="Cambria" w:eastAsia="Times New Roman" w:hAnsi="Cambria" w:cs="Times New Roman"/>
          <w:b/>
        </w:rPr>
        <w:t>, 2020</w:t>
      </w:r>
    </w:p>
    <w:p w14:paraId="6DC4575B" w14:textId="77777777" w:rsidR="002F3C19" w:rsidRPr="00096AD6" w:rsidRDefault="002F3C19" w:rsidP="002F3C19">
      <w:pPr>
        <w:shd w:val="clear" w:color="auto" w:fill="FFFFFF"/>
        <w:spacing w:after="0" w:line="240" w:lineRule="auto"/>
        <w:jc w:val="center"/>
        <w:rPr>
          <w:rFonts w:ascii="Cambria" w:eastAsia="Times New Roman" w:hAnsi="Cambria" w:cs="Times New Roman"/>
          <w:b/>
        </w:rPr>
      </w:pPr>
    </w:p>
    <w:p w14:paraId="205838F1" w14:textId="77777777" w:rsidR="00B65108" w:rsidRPr="00096AD6" w:rsidRDefault="002F3C19" w:rsidP="00BC6295">
      <w:pPr>
        <w:rPr>
          <w:rFonts w:ascii="Cambria" w:hAnsi="Cambria"/>
        </w:rPr>
      </w:pPr>
      <w:r w:rsidRPr="00096AD6">
        <w:rPr>
          <w:rFonts w:ascii="Cambria" w:hAnsi="Cambria"/>
        </w:rPr>
        <w:br w:type="page"/>
      </w:r>
      <w:r w:rsidR="00481294" w:rsidRPr="00096AD6">
        <w:rPr>
          <w:rFonts w:ascii="Cambria" w:hAnsi="Cambria"/>
        </w:rPr>
        <w:lastRenderedPageBreak/>
        <w:t xml:space="preserve">Cattle and hog slaughter figures finally turned higher </w:t>
      </w:r>
      <w:r w:rsidR="00612661" w:rsidRPr="00096AD6">
        <w:rPr>
          <w:rFonts w:ascii="Cambria" w:hAnsi="Cambria"/>
        </w:rPr>
        <w:t>last</w:t>
      </w:r>
      <w:r w:rsidR="00481294" w:rsidRPr="00096AD6">
        <w:rPr>
          <w:rFonts w:ascii="Cambria" w:hAnsi="Cambria"/>
        </w:rPr>
        <w:t xml:space="preserve"> week after several weeks of falling sharply due to multiple plant shut-downs and slow-downs due to COVID-19.</w:t>
      </w:r>
      <w:r w:rsidR="007D1E45" w:rsidRPr="00096AD6">
        <w:rPr>
          <w:rFonts w:ascii="Cambria" w:hAnsi="Cambria"/>
        </w:rPr>
        <w:t xml:space="preserve">  In </w:t>
      </w:r>
      <w:r w:rsidR="00612661" w:rsidRPr="00096AD6">
        <w:rPr>
          <w:rFonts w:ascii="Cambria" w:hAnsi="Cambria"/>
        </w:rPr>
        <w:t xml:space="preserve">last </w:t>
      </w:r>
      <w:r w:rsidR="007D1E45" w:rsidRPr="00096AD6">
        <w:rPr>
          <w:rFonts w:ascii="Cambria" w:hAnsi="Cambria"/>
        </w:rPr>
        <w:t xml:space="preserve">Friday afternoon’s </w:t>
      </w:r>
      <w:hyperlink r:id="rId5" w:history="1">
        <w:r w:rsidR="007D1E45" w:rsidRPr="00096AD6">
          <w:rPr>
            <w:rStyle w:val="Hyperlink"/>
            <w:rFonts w:ascii="Cambria" w:hAnsi="Cambria"/>
          </w:rPr>
          <w:t>Estimated Daily Livestock Slaughter under Federal Inspection</w:t>
        </w:r>
      </w:hyperlink>
      <w:r w:rsidR="007D1E45" w:rsidRPr="00096AD6">
        <w:rPr>
          <w:rFonts w:ascii="Cambria" w:hAnsi="Cambria"/>
        </w:rPr>
        <w:t xml:space="preserve"> report from USDA Agricultural Marketing Service, cattle slaughter </w:t>
      </w:r>
      <w:r w:rsidR="00612661" w:rsidRPr="00096AD6">
        <w:rPr>
          <w:rFonts w:ascii="Cambria" w:hAnsi="Cambria"/>
        </w:rPr>
        <w:t>was projected</w:t>
      </w:r>
      <w:r w:rsidR="00481294" w:rsidRPr="00096AD6">
        <w:rPr>
          <w:rFonts w:ascii="Cambria" w:hAnsi="Cambria"/>
        </w:rPr>
        <w:t xml:space="preserve"> to rebound to 452,000 head this week after falling to 425,000 head </w:t>
      </w:r>
      <w:r w:rsidR="00612661" w:rsidRPr="00096AD6">
        <w:rPr>
          <w:rFonts w:ascii="Cambria" w:hAnsi="Cambria"/>
        </w:rPr>
        <w:t>the prior</w:t>
      </w:r>
      <w:r w:rsidR="00481294" w:rsidRPr="00096AD6">
        <w:rPr>
          <w:rFonts w:ascii="Cambria" w:hAnsi="Cambria"/>
        </w:rPr>
        <w:t xml:space="preserve"> week</w:t>
      </w:r>
      <w:r w:rsidR="009539D3" w:rsidRPr="00096AD6">
        <w:rPr>
          <w:rFonts w:ascii="Cambria" w:hAnsi="Cambria"/>
        </w:rPr>
        <w:t xml:space="preserve">.  Hog slaughter </w:t>
      </w:r>
      <w:r w:rsidR="00612661" w:rsidRPr="00096AD6">
        <w:rPr>
          <w:rFonts w:ascii="Cambria" w:hAnsi="Cambria"/>
        </w:rPr>
        <w:t>was</w:t>
      </w:r>
      <w:r w:rsidR="009539D3" w:rsidRPr="00096AD6">
        <w:rPr>
          <w:rFonts w:ascii="Cambria" w:hAnsi="Cambria"/>
        </w:rPr>
        <w:t xml:space="preserve"> estimated to </w:t>
      </w:r>
      <w:r w:rsidR="00481294" w:rsidRPr="00096AD6">
        <w:rPr>
          <w:rFonts w:ascii="Cambria" w:hAnsi="Cambria"/>
        </w:rPr>
        <w:t xml:space="preserve">hit 1.768 million head </w:t>
      </w:r>
      <w:r w:rsidR="00612661" w:rsidRPr="00096AD6">
        <w:rPr>
          <w:rFonts w:ascii="Cambria" w:hAnsi="Cambria"/>
        </w:rPr>
        <w:t>last</w:t>
      </w:r>
      <w:r w:rsidR="00481294" w:rsidRPr="00096AD6">
        <w:rPr>
          <w:rFonts w:ascii="Cambria" w:hAnsi="Cambria"/>
        </w:rPr>
        <w:t xml:space="preserve"> week, up from 1.533 million head </w:t>
      </w:r>
      <w:r w:rsidR="00612661" w:rsidRPr="00096AD6">
        <w:rPr>
          <w:rFonts w:ascii="Cambria" w:hAnsi="Cambria"/>
        </w:rPr>
        <w:t>the prior</w:t>
      </w:r>
      <w:r w:rsidR="00481294" w:rsidRPr="00096AD6">
        <w:rPr>
          <w:rFonts w:ascii="Cambria" w:hAnsi="Cambria"/>
        </w:rPr>
        <w:t xml:space="preserve"> week.</w:t>
      </w:r>
      <w:r w:rsidR="009539D3" w:rsidRPr="00096AD6">
        <w:rPr>
          <w:rFonts w:ascii="Cambria" w:hAnsi="Cambria"/>
        </w:rPr>
        <w:t xml:space="preserve">  </w:t>
      </w:r>
    </w:p>
    <w:p w14:paraId="738D4B31" w14:textId="77777777" w:rsidR="00481294" w:rsidRPr="00096AD6" w:rsidRDefault="00481294" w:rsidP="00BC6295">
      <w:pPr>
        <w:rPr>
          <w:rFonts w:ascii="Cambria" w:hAnsi="Cambria"/>
        </w:rPr>
      </w:pPr>
      <w:r w:rsidRPr="00096AD6">
        <w:rPr>
          <w:rFonts w:ascii="Cambria" w:hAnsi="Cambria"/>
        </w:rPr>
        <w:t xml:space="preserve">While the modest bounce in slaughter levels is a positive development, suggesting at least the beginning of a move back toward normal, processing capacity remains constrained.  </w:t>
      </w:r>
      <w:r w:rsidR="00612661" w:rsidRPr="00096AD6">
        <w:rPr>
          <w:rFonts w:ascii="Cambria" w:hAnsi="Cambria"/>
        </w:rPr>
        <w:t>Last</w:t>
      </w:r>
      <w:r w:rsidRPr="00096AD6">
        <w:rPr>
          <w:rFonts w:ascii="Cambria" w:hAnsi="Cambria"/>
        </w:rPr>
        <w:t xml:space="preserve"> week’s cattle and hog slaughter numbers both remain about 28% below last year’s average </w:t>
      </w:r>
      <w:r w:rsidR="00486133" w:rsidRPr="00096AD6">
        <w:rPr>
          <w:rFonts w:ascii="Cambria" w:hAnsi="Cambria"/>
        </w:rPr>
        <w:t>weekly</w:t>
      </w:r>
      <w:r w:rsidRPr="00096AD6">
        <w:rPr>
          <w:rFonts w:ascii="Cambria" w:hAnsi="Cambria"/>
        </w:rPr>
        <w:t xml:space="preserve"> slaughter level.  Considerable further recovery in processing rates will be needed to alleviate major production disruptions and stabilize markets.  Data suggests that the broiler sector, as a whole, has come closer to resuming normal operations.  Broiler slaughter for the week ending May 2 (most recent complete broiler data available) amounted to 162 million birds.  This was 98 percent of 2019’s </w:t>
      </w:r>
      <w:r w:rsidR="00486133" w:rsidRPr="00096AD6">
        <w:rPr>
          <w:rFonts w:ascii="Cambria" w:hAnsi="Cambria"/>
        </w:rPr>
        <w:t>weekly</w:t>
      </w:r>
      <w:r w:rsidRPr="00096AD6">
        <w:rPr>
          <w:rFonts w:ascii="Cambria" w:hAnsi="Cambria"/>
        </w:rPr>
        <w:t xml:space="preserve"> average rate of production.  Figure 1 shows weekly cattle, hog, and broiler slaughter as a percent of 2019’s weekly average.  </w:t>
      </w:r>
    </w:p>
    <w:p w14:paraId="0E8A883F" w14:textId="77777777" w:rsidR="00481294" w:rsidRPr="00096AD6" w:rsidRDefault="00486133" w:rsidP="00481294">
      <w:pPr>
        <w:spacing w:after="0"/>
        <w:rPr>
          <w:rFonts w:ascii="Cambria" w:hAnsi="Cambria"/>
          <w:sz w:val="20"/>
          <w:szCs w:val="20"/>
        </w:rPr>
      </w:pPr>
      <w:r w:rsidRPr="00096AD6">
        <w:rPr>
          <w:rFonts w:ascii="Cambria" w:hAnsi="Cambria"/>
          <w:noProof/>
        </w:rPr>
        <w:drawing>
          <wp:inline distT="0" distB="0" distL="0" distR="0" wp14:anchorId="1967F3FF" wp14:editId="44083010">
            <wp:extent cx="4657725" cy="2295525"/>
            <wp:effectExtent l="0" t="0" r="0" b="0"/>
            <wp:docPr id="3" name="Chart 3">
              <a:extLst xmlns:a="http://schemas.openxmlformats.org/drawingml/2006/main">
                <a:ext uri="{FF2B5EF4-FFF2-40B4-BE49-F238E27FC236}">
                  <a16:creationId xmlns:a16="http://schemas.microsoft.com/office/drawing/2014/main" id="{50BE79B9-E5C6-4497-87F1-FEAE47266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998CA9" w14:textId="77777777" w:rsidR="00481294" w:rsidRPr="00096AD6" w:rsidRDefault="00481294" w:rsidP="00481294">
      <w:pPr>
        <w:spacing w:after="0"/>
        <w:rPr>
          <w:rFonts w:ascii="Cambria" w:hAnsi="Cambria"/>
          <w:sz w:val="20"/>
          <w:szCs w:val="20"/>
        </w:rPr>
      </w:pPr>
      <w:r w:rsidRPr="00096AD6">
        <w:rPr>
          <w:rFonts w:ascii="Cambria" w:hAnsi="Cambria"/>
          <w:sz w:val="20"/>
          <w:szCs w:val="20"/>
        </w:rPr>
        <w:t>Data Source: USDA Agricultural Marketing Service.</w:t>
      </w:r>
    </w:p>
    <w:p w14:paraId="64B61CF0" w14:textId="77777777" w:rsidR="00486133" w:rsidRPr="00096AD6" w:rsidRDefault="00481294" w:rsidP="00486133">
      <w:pPr>
        <w:spacing w:after="0"/>
        <w:ind w:left="990" w:hanging="990"/>
        <w:rPr>
          <w:rFonts w:ascii="Cambria" w:hAnsi="Cambria"/>
        </w:rPr>
      </w:pPr>
      <w:r w:rsidRPr="00096AD6">
        <w:rPr>
          <w:rFonts w:ascii="Cambria" w:hAnsi="Cambria"/>
          <w:b/>
        </w:rPr>
        <w:t>Figure 1.</w:t>
      </w:r>
      <w:r w:rsidRPr="00096AD6">
        <w:rPr>
          <w:rFonts w:ascii="Cambria" w:hAnsi="Cambria"/>
        </w:rPr>
        <w:t xml:space="preserve">  </w:t>
      </w:r>
      <w:r w:rsidR="00486133" w:rsidRPr="00096AD6">
        <w:rPr>
          <w:rFonts w:ascii="Cambria" w:hAnsi="Cambria"/>
        </w:rPr>
        <w:t xml:space="preserve">2020 </w:t>
      </w:r>
      <w:r w:rsidRPr="00096AD6">
        <w:rPr>
          <w:rFonts w:ascii="Cambria" w:hAnsi="Cambria"/>
        </w:rPr>
        <w:t>Weekly C</w:t>
      </w:r>
      <w:r w:rsidR="00486133" w:rsidRPr="00096AD6">
        <w:rPr>
          <w:rFonts w:ascii="Cambria" w:hAnsi="Cambria"/>
        </w:rPr>
        <w:t>attle, Hog, and Young Chicken Slaughter as a % of 2019</w:t>
      </w:r>
    </w:p>
    <w:p w14:paraId="3981129B" w14:textId="77777777" w:rsidR="00481294" w:rsidRPr="00096AD6" w:rsidRDefault="00486133" w:rsidP="00486133">
      <w:pPr>
        <w:ind w:firstLine="900"/>
        <w:rPr>
          <w:rFonts w:ascii="Cambria" w:hAnsi="Cambria"/>
        </w:rPr>
      </w:pPr>
      <w:r w:rsidRPr="00096AD6">
        <w:rPr>
          <w:rFonts w:ascii="Cambria" w:hAnsi="Cambria"/>
        </w:rPr>
        <w:t>Average Weekly Slaughter</w:t>
      </w:r>
    </w:p>
    <w:p w14:paraId="27B3A1F9" w14:textId="77777777" w:rsidR="009539D3" w:rsidRPr="00096AD6" w:rsidRDefault="00486133" w:rsidP="00BC6295">
      <w:pPr>
        <w:rPr>
          <w:rFonts w:ascii="Cambria" w:hAnsi="Cambria"/>
        </w:rPr>
      </w:pPr>
      <w:r w:rsidRPr="00096AD6">
        <w:rPr>
          <w:rFonts w:ascii="Cambria" w:hAnsi="Cambria"/>
        </w:rPr>
        <w:t xml:space="preserve">Wholesale beef and pork prices continued to move higher </w:t>
      </w:r>
      <w:r w:rsidR="00612661" w:rsidRPr="00096AD6">
        <w:rPr>
          <w:rFonts w:ascii="Cambria" w:hAnsi="Cambria"/>
        </w:rPr>
        <w:t>last</w:t>
      </w:r>
      <w:r w:rsidRPr="00096AD6">
        <w:rPr>
          <w:rFonts w:ascii="Cambria" w:hAnsi="Cambria"/>
        </w:rPr>
        <w:t xml:space="preserve"> week as constrained production remained the defining feature of the market.  For the week, the Choice boxed beef cutout value averaged $441.53/hundredweight (cwt), an unprecedented average price for wholesale beef.  </w:t>
      </w:r>
      <w:r w:rsidR="00671A66" w:rsidRPr="00096AD6">
        <w:rPr>
          <w:rFonts w:ascii="Cambria" w:hAnsi="Cambria"/>
        </w:rPr>
        <w:t>The Choice cutout has almost doubled since the first week of April.</w:t>
      </w:r>
      <w:r w:rsidR="00612661" w:rsidRPr="00096AD6">
        <w:rPr>
          <w:rFonts w:ascii="Cambria" w:hAnsi="Cambria"/>
        </w:rPr>
        <w:t xml:space="preserve">  While all of the major beef primal cuts have increased in value over that period of time, the surge in the value of beef trimmings has been particularly astonishing.  For the week ending April 3, the price of fresh 50 percent lean beef trimmings (a major component of ground beef) averaged $28.49/cwt.  Last week, it averaged $275.28/cwt, an increase of over 800 percent.  With production sharply lower and demand for this staple item (of both food service and grocery retail business) strong, prices have exploded.  For context, though, while little remembered now, fresh 50 percent lean trim prices topped $200/cwt </w:t>
      </w:r>
      <w:r w:rsidR="00253CD0" w:rsidRPr="00096AD6">
        <w:rPr>
          <w:rFonts w:ascii="Cambria" w:hAnsi="Cambria"/>
        </w:rPr>
        <w:t xml:space="preserve">about this time of year in 2017. </w:t>
      </w:r>
    </w:p>
    <w:p w14:paraId="315982E2" w14:textId="77777777" w:rsidR="00C8070B" w:rsidRPr="00096AD6" w:rsidRDefault="00486133" w:rsidP="00BC6295">
      <w:pPr>
        <w:rPr>
          <w:rFonts w:ascii="Cambria" w:hAnsi="Cambria"/>
        </w:rPr>
      </w:pPr>
      <w:r w:rsidRPr="00096AD6">
        <w:rPr>
          <w:rFonts w:ascii="Cambria" w:hAnsi="Cambria"/>
          <w:noProof/>
        </w:rPr>
        <w:lastRenderedPageBreak/>
        <w:drawing>
          <wp:inline distT="0" distB="0" distL="0" distR="0" wp14:anchorId="0928B905" wp14:editId="7A4EBB2C">
            <wp:extent cx="4381500" cy="2466975"/>
            <wp:effectExtent l="0" t="0" r="0" b="0"/>
            <wp:docPr id="1" name="Chart 1">
              <a:extLst xmlns:a="http://schemas.openxmlformats.org/drawingml/2006/main">
                <a:ext uri="{FF2B5EF4-FFF2-40B4-BE49-F238E27FC236}">
                  <a16:creationId xmlns:a16="http://schemas.microsoft.com/office/drawing/2014/main" id="{C842B106-C204-42CD-BB68-B088E5677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FEDF22" w14:textId="77777777" w:rsidR="00C8070B" w:rsidRPr="00096AD6" w:rsidRDefault="00C8070B" w:rsidP="00CF65DE">
      <w:pPr>
        <w:spacing w:after="0"/>
        <w:rPr>
          <w:rFonts w:ascii="Cambria" w:hAnsi="Cambria"/>
          <w:sz w:val="20"/>
          <w:szCs w:val="20"/>
        </w:rPr>
      </w:pPr>
      <w:r w:rsidRPr="00096AD6">
        <w:rPr>
          <w:rFonts w:ascii="Cambria" w:hAnsi="Cambria"/>
          <w:sz w:val="20"/>
          <w:szCs w:val="20"/>
        </w:rPr>
        <w:t>Data Source: USDA Agricultural Marketing Service through Livestock Marketing Information Center</w:t>
      </w:r>
      <w:r w:rsidR="00CF65DE" w:rsidRPr="00096AD6">
        <w:rPr>
          <w:rFonts w:ascii="Cambria" w:hAnsi="Cambria"/>
          <w:sz w:val="20"/>
          <w:szCs w:val="20"/>
        </w:rPr>
        <w:t>.</w:t>
      </w:r>
    </w:p>
    <w:p w14:paraId="39C2FCAF" w14:textId="77777777" w:rsidR="00C8070B" w:rsidRPr="00096AD6" w:rsidRDefault="00C8070B" w:rsidP="00BC6295">
      <w:pPr>
        <w:rPr>
          <w:rFonts w:ascii="Cambria" w:hAnsi="Cambria"/>
        </w:rPr>
      </w:pPr>
      <w:r w:rsidRPr="00096AD6">
        <w:rPr>
          <w:rFonts w:ascii="Cambria" w:hAnsi="Cambria"/>
          <w:b/>
        </w:rPr>
        <w:t xml:space="preserve">Figure </w:t>
      </w:r>
      <w:r w:rsidR="00612661" w:rsidRPr="00096AD6">
        <w:rPr>
          <w:rFonts w:ascii="Cambria" w:hAnsi="Cambria"/>
          <w:b/>
        </w:rPr>
        <w:t>2</w:t>
      </w:r>
      <w:r w:rsidRPr="00096AD6">
        <w:rPr>
          <w:rFonts w:ascii="Cambria" w:hAnsi="Cambria"/>
          <w:b/>
        </w:rPr>
        <w:t>.</w:t>
      </w:r>
      <w:r w:rsidRPr="00096AD6">
        <w:rPr>
          <w:rFonts w:ascii="Cambria" w:hAnsi="Cambria"/>
        </w:rPr>
        <w:t xml:space="preserve">  Weekly Average Choice Boxed Beef Cutout Value</w:t>
      </w:r>
    </w:p>
    <w:p w14:paraId="08649D8B" w14:textId="77777777" w:rsidR="0054692A" w:rsidRPr="00096AD6" w:rsidRDefault="00A127C9" w:rsidP="00BC6295">
      <w:pPr>
        <w:rPr>
          <w:rFonts w:ascii="Cambria" w:hAnsi="Cambria"/>
        </w:rPr>
      </w:pPr>
      <w:r w:rsidRPr="00096AD6">
        <w:rPr>
          <w:rFonts w:ascii="Cambria" w:hAnsi="Cambria"/>
        </w:rPr>
        <w:t xml:space="preserve">The pork cutout has </w:t>
      </w:r>
      <w:r w:rsidR="004E5BA7" w:rsidRPr="00096AD6">
        <w:rPr>
          <w:rFonts w:ascii="Cambria" w:hAnsi="Cambria"/>
        </w:rPr>
        <w:t>also increased sharply as the decline in processing constrains available supplies</w:t>
      </w:r>
      <w:r w:rsidRPr="00096AD6">
        <w:rPr>
          <w:rFonts w:ascii="Cambria" w:hAnsi="Cambria"/>
        </w:rPr>
        <w:t xml:space="preserve">.  </w:t>
      </w:r>
      <w:r w:rsidR="004E5BA7" w:rsidRPr="00096AD6">
        <w:rPr>
          <w:rFonts w:ascii="Cambria" w:hAnsi="Cambria"/>
        </w:rPr>
        <w:t>Last week, the pork cutout averaged $113.94/cwt, up from $94.05 the prior week.  Similar to the beef market, the pork cutout has more than doubled since the week ending April 10</w:t>
      </w:r>
      <w:r w:rsidR="0054692A" w:rsidRPr="00096AD6">
        <w:rPr>
          <w:rFonts w:ascii="Cambria" w:hAnsi="Cambria"/>
        </w:rPr>
        <w:t xml:space="preserve">.  </w:t>
      </w:r>
      <w:r w:rsidR="004E5BA7" w:rsidRPr="00096AD6">
        <w:rPr>
          <w:rFonts w:ascii="Cambria" w:hAnsi="Cambria"/>
        </w:rPr>
        <w:t xml:space="preserve">The big mover among pork primal cuts has been bellies (from which, bacon).  </w:t>
      </w:r>
      <w:r w:rsidR="00A17B9A" w:rsidRPr="00096AD6">
        <w:rPr>
          <w:rFonts w:ascii="Cambria" w:hAnsi="Cambria"/>
        </w:rPr>
        <w:t xml:space="preserve">Pork belly wholesale prices increased from $34.54/cwt the week ending April 10 to $191.48/cwt last week, an increase of over 400 percent. </w:t>
      </w:r>
    </w:p>
    <w:p w14:paraId="16FC9A6A" w14:textId="77777777" w:rsidR="0054692A" w:rsidRPr="00096AD6" w:rsidRDefault="00253CD0" w:rsidP="00BC6295">
      <w:pPr>
        <w:rPr>
          <w:rFonts w:ascii="Cambria" w:hAnsi="Cambria"/>
        </w:rPr>
      </w:pPr>
      <w:r w:rsidRPr="00096AD6">
        <w:rPr>
          <w:rFonts w:ascii="Cambria" w:hAnsi="Cambria"/>
          <w:noProof/>
        </w:rPr>
        <w:drawing>
          <wp:inline distT="0" distB="0" distL="0" distR="0" wp14:anchorId="396F7654" wp14:editId="041B4B5D">
            <wp:extent cx="4448175" cy="2228850"/>
            <wp:effectExtent l="0" t="0" r="0" b="0"/>
            <wp:docPr id="4" name="Chart 4">
              <a:extLst xmlns:a="http://schemas.openxmlformats.org/drawingml/2006/main">
                <a:ext uri="{FF2B5EF4-FFF2-40B4-BE49-F238E27FC236}">
                  <a16:creationId xmlns:a16="http://schemas.microsoft.com/office/drawing/2014/main" id="{7FF105E1-8C22-498F-A2CA-923ABA2CB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BCA1D5" w14:textId="77777777" w:rsidR="00777F8D" w:rsidRPr="00096AD6" w:rsidRDefault="00777F8D" w:rsidP="00777F8D">
      <w:pPr>
        <w:spacing w:after="0"/>
        <w:rPr>
          <w:rFonts w:ascii="Cambria" w:hAnsi="Cambria"/>
          <w:sz w:val="20"/>
          <w:szCs w:val="20"/>
        </w:rPr>
      </w:pPr>
      <w:r w:rsidRPr="00096AD6">
        <w:rPr>
          <w:rFonts w:ascii="Cambria" w:hAnsi="Cambria"/>
          <w:sz w:val="20"/>
          <w:szCs w:val="20"/>
        </w:rPr>
        <w:t>Data Source: USDA Agricultural Marketing Service through Livestock Marketing Information Center.</w:t>
      </w:r>
    </w:p>
    <w:p w14:paraId="2699539A" w14:textId="77777777" w:rsidR="00777F8D" w:rsidRPr="00096AD6" w:rsidRDefault="00777F8D" w:rsidP="00777F8D">
      <w:pPr>
        <w:rPr>
          <w:rFonts w:ascii="Cambria" w:hAnsi="Cambria"/>
        </w:rPr>
      </w:pPr>
      <w:r w:rsidRPr="00096AD6">
        <w:rPr>
          <w:rFonts w:ascii="Cambria" w:hAnsi="Cambria"/>
          <w:b/>
        </w:rPr>
        <w:t xml:space="preserve">Figure </w:t>
      </w:r>
      <w:r w:rsidR="00253CD0" w:rsidRPr="00096AD6">
        <w:rPr>
          <w:rFonts w:ascii="Cambria" w:hAnsi="Cambria"/>
          <w:b/>
        </w:rPr>
        <w:t>3</w:t>
      </w:r>
      <w:r w:rsidRPr="00096AD6">
        <w:rPr>
          <w:rFonts w:ascii="Cambria" w:hAnsi="Cambria"/>
          <w:b/>
        </w:rPr>
        <w:t>.</w:t>
      </w:r>
      <w:r w:rsidRPr="00096AD6">
        <w:rPr>
          <w:rFonts w:ascii="Cambria" w:hAnsi="Cambria"/>
        </w:rPr>
        <w:t xml:space="preserve">  Weekly Average </w:t>
      </w:r>
      <w:r w:rsidR="0054692A" w:rsidRPr="00096AD6">
        <w:rPr>
          <w:rFonts w:ascii="Cambria" w:hAnsi="Cambria"/>
        </w:rPr>
        <w:t>Pork</w:t>
      </w:r>
      <w:r w:rsidRPr="00096AD6">
        <w:rPr>
          <w:rFonts w:ascii="Cambria" w:hAnsi="Cambria"/>
        </w:rPr>
        <w:t xml:space="preserve"> Cutout Value</w:t>
      </w:r>
    </w:p>
    <w:p w14:paraId="63291216" w14:textId="7FFF41B9" w:rsidR="002F3C19" w:rsidRDefault="00A17B9A">
      <w:pPr>
        <w:rPr>
          <w:rFonts w:ascii="Cambria" w:hAnsi="Cambria"/>
        </w:rPr>
      </w:pPr>
      <w:r w:rsidRPr="00096AD6">
        <w:rPr>
          <w:rFonts w:ascii="Cambria" w:hAnsi="Cambria"/>
        </w:rPr>
        <w:t>Fed cattle price finally gained a bit of ground last week.  On Friday, the week-to-date 5-area weighted average negotiated live price was $100.04/cwt, up almost $5/cwt from the previous week.  This was the second week in a row of modest gains in cash cattle prices, though the volume of cash sales remains historically low, as would be expected given the slow pace of processing.  Feeder and stocker cattle prices were also slightly improved from the prior week.  The weekly Arkansas livestock summary from USDA Agricultural Marketing Service called feeder cattle prices steady to $5 higher than the prior</w:t>
      </w:r>
      <w:bookmarkStart w:id="0" w:name="_GoBack"/>
      <w:bookmarkEnd w:id="0"/>
      <w:r w:rsidRPr="00096AD6">
        <w:rPr>
          <w:rFonts w:ascii="Cambria" w:hAnsi="Cambria"/>
        </w:rPr>
        <w:t xml:space="preserve"> week, with the volume of sales also increasing week-to-week.</w:t>
      </w:r>
    </w:p>
    <w:p w14:paraId="7E89453F" w14:textId="2834E8F2" w:rsidR="00A831AC" w:rsidRPr="00A831AC" w:rsidRDefault="00A831AC">
      <w:pPr>
        <w:rPr>
          <w:rFonts w:ascii="Cambria" w:hAnsi="Cambria"/>
          <w:color w:val="808080" w:themeColor="background1" w:themeShade="80"/>
        </w:rPr>
      </w:pPr>
    </w:p>
    <w:p w14:paraId="4DAB0E97" w14:textId="77777777" w:rsidR="00A831AC" w:rsidRPr="00A831AC" w:rsidRDefault="00A831AC" w:rsidP="00A831AC">
      <w:pPr>
        <w:rPr>
          <w:rFonts w:ascii="Cambria" w:hAnsi="Cambria"/>
          <w:color w:val="808080" w:themeColor="background1" w:themeShade="80"/>
        </w:rPr>
      </w:pPr>
      <w:r w:rsidRPr="00A831AC">
        <w:rPr>
          <w:rFonts w:ascii="Cambria" w:hAnsi="Cambria"/>
          <w:color w:val="808080" w:themeColor="background1" w:themeShade="8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   </w:t>
      </w:r>
    </w:p>
    <w:p w14:paraId="10D95C2A" w14:textId="77777777" w:rsidR="00A831AC" w:rsidRPr="00096AD6" w:rsidRDefault="00A831AC">
      <w:pPr>
        <w:rPr>
          <w:rFonts w:ascii="Cambria" w:hAnsi="Cambria"/>
        </w:rPr>
      </w:pPr>
    </w:p>
    <w:sectPr w:rsidR="00A831AC" w:rsidRPr="0009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96AD6"/>
    <w:rsid w:val="000F26EF"/>
    <w:rsid w:val="0016274A"/>
    <w:rsid w:val="00165B26"/>
    <w:rsid w:val="001B0892"/>
    <w:rsid w:val="00253CD0"/>
    <w:rsid w:val="00275746"/>
    <w:rsid w:val="0027667F"/>
    <w:rsid w:val="00280B58"/>
    <w:rsid w:val="002F3C19"/>
    <w:rsid w:val="002F57A8"/>
    <w:rsid w:val="00307E8B"/>
    <w:rsid w:val="00323F35"/>
    <w:rsid w:val="00333AF4"/>
    <w:rsid w:val="00362BA5"/>
    <w:rsid w:val="003A0A09"/>
    <w:rsid w:val="00481294"/>
    <w:rsid w:val="00486133"/>
    <w:rsid w:val="004A3E20"/>
    <w:rsid w:val="004B57FA"/>
    <w:rsid w:val="004B5A32"/>
    <w:rsid w:val="004C721C"/>
    <w:rsid w:val="004E5BA7"/>
    <w:rsid w:val="0054692A"/>
    <w:rsid w:val="005A3638"/>
    <w:rsid w:val="005B0E04"/>
    <w:rsid w:val="005D17DA"/>
    <w:rsid w:val="00612661"/>
    <w:rsid w:val="00671A66"/>
    <w:rsid w:val="006B4454"/>
    <w:rsid w:val="00777F8D"/>
    <w:rsid w:val="007D1E45"/>
    <w:rsid w:val="00802549"/>
    <w:rsid w:val="008A0499"/>
    <w:rsid w:val="008A19BD"/>
    <w:rsid w:val="009539D3"/>
    <w:rsid w:val="009A1BA5"/>
    <w:rsid w:val="009D0CB6"/>
    <w:rsid w:val="00A127C9"/>
    <w:rsid w:val="00A17B9A"/>
    <w:rsid w:val="00A5247D"/>
    <w:rsid w:val="00A831AC"/>
    <w:rsid w:val="00AA597D"/>
    <w:rsid w:val="00B153C2"/>
    <w:rsid w:val="00B65108"/>
    <w:rsid w:val="00B8252E"/>
    <w:rsid w:val="00BC6295"/>
    <w:rsid w:val="00C71B1A"/>
    <w:rsid w:val="00C8070B"/>
    <w:rsid w:val="00CF65DE"/>
    <w:rsid w:val="00D060FE"/>
    <w:rsid w:val="00D272E6"/>
    <w:rsid w:val="00DE3101"/>
    <w:rsid w:val="00E05DAC"/>
    <w:rsid w:val="00E450BE"/>
    <w:rsid w:val="00F101D4"/>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6A2F"/>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s://www.ams.usda.gov/mnreports/sj_ls710.tx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15048118985127"/>
          <c:y val="5.0925925925925923E-2"/>
          <c:w val="0.8279755030621172"/>
          <c:h val="0.68389617964421101"/>
        </c:manualLayout>
      </c:layout>
      <c:lineChart>
        <c:grouping val="standard"/>
        <c:varyColors val="0"/>
        <c:ser>
          <c:idx val="1"/>
          <c:order val="0"/>
          <c:tx>
            <c:strRef>
              <c:f>Sheet3!$C$3</c:f>
              <c:strCache>
                <c:ptCount val="1"/>
                <c:pt idx="0">
                  <c:v>Cattle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Sheet3!$B$57:$B$74</c:f>
              <c:numCache>
                <c:formatCode>General</c:formatCode>
                <c:ptCount val="18"/>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numCache>
            </c:numRef>
          </c:cat>
          <c:val>
            <c:numRef>
              <c:f>Sheet3!$G$57:$G$74</c:f>
              <c:numCache>
                <c:formatCode>General</c:formatCode>
                <c:ptCount val="18"/>
                <c:pt idx="0">
                  <c:v>1.0156067346862392</c:v>
                </c:pt>
                <c:pt idx="1">
                  <c:v>0.99993134368549019</c:v>
                </c:pt>
                <c:pt idx="2">
                  <c:v>1.0168262652568911</c:v>
                </c:pt>
                <c:pt idx="3">
                  <c:v>1.0072137736475433</c:v>
                </c:pt>
                <c:pt idx="4">
                  <c:v>0.99720477663245255</c:v>
                </c:pt>
                <c:pt idx="5">
                  <c:v>0.98153570444295046</c:v>
                </c:pt>
                <c:pt idx="6">
                  <c:v>0.98830789039681644</c:v>
                </c:pt>
                <c:pt idx="7">
                  <c:v>0.9925067404703819</c:v>
                </c:pt>
                <c:pt idx="8">
                  <c:v>1.0259964400789559</c:v>
                </c:pt>
                <c:pt idx="9">
                  <c:v>1.0120997944442094</c:v>
                </c:pt>
                <c:pt idx="10">
                  <c:v>1.0430667086624583</c:v>
                </c:pt>
                <c:pt idx="11">
                  <c:v>1.0818357750678178</c:v>
                </c:pt>
                <c:pt idx="12">
                  <c:v>0.99726480533929818</c:v>
                </c:pt>
                <c:pt idx="13">
                  <c:v>0.83535948446277208</c:v>
                </c:pt>
                <c:pt idx="14">
                  <c:v>0.79301081148604335</c:v>
                </c:pt>
                <c:pt idx="15">
                  <c:v>0.73456180745221145</c:v>
                </c:pt>
                <c:pt idx="16">
                  <c:v>0.67137369498320398</c:v>
                </c:pt>
                <c:pt idx="17">
                  <c:v>0.71402567089978408</c:v>
                </c:pt>
              </c:numCache>
            </c:numRef>
          </c:val>
          <c:smooth val="0"/>
          <c:extLst>
            <c:ext xmlns:c16="http://schemas.microsoft.com/office/drawing/2014/chart" uri="{C3380CC4-5D6E-409C-BE32-E72D297353CC}">
              <c16:uniqueId val="{00000000-F44E-4511-A2EB-A3828FA0C0D2}"/>
            </c:ext>
          </c:extLst>
        </c:ser>
        <c:ser>
          <c:idx val="0"/>
          <c:order val="1"/>
          <c:tx>
            <c:strRef>
              <c:f>Sheet3!$D$3</c:f>
              <c:strCache>
                <c:ptCount val="1"/>
                <c:pt idx="0">
                  <c:v>Hogs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Sheet3!$B$57:$B$74</c:f>
              <c:numCache>
                <c:formatCode>General</c:formatCode>
                <c:ptCount val="18"/>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numCache>
            </c:numRef>
          </c:cat>
          <c:val>
            <c:numRef>
              <c:f>Sheet3!$H$57:$H$74</c:f>
              <c:numCache>
                <c:formatCode>General</c:formatCode>
                <c:ptCount val="18"/>
                <c:pt idx="0">
                  <c:v>1.0888426058881624</c:v>
                </c:pt>
                <c:pt idx="1">
                  <c:v>1.0085894386442549</c:v>
                </c:pt>
                <c:pt idx="2">
                  <c:v>1.0938016127789856</c:v>
                </c:pt>
                <c:pt idx="3">
                  <c:v>1.0893819797026687</c:v>
                </c:pt>
                <c:pt idx="4">
                  <c:v>1.0796890080293973</c:v>
                </c:pt>
                <c:pt idx="5">
                  <c:v>1.0461391487164557</c:v>
                </c:pt>
                <c:pt idx="6">
                  <c:v>1.0551113392024021</c:v>
                </c:pt>
                <c:pt idx="7">
                  <c:v>1.0347807846361472</c:v>
                </c:pt>
                <c:pt idx="8">
                  <c:v>1.0826585941991502</c:v>
                </c:pt>
                <c:pt idx="9">
                  <c:v>1.0664038471540478</c:v>
                </c:pt>
                <c:pt idx="10">
                  <c:v>1.1307788189596841</c:v>
                </c:pt>
                <c:pt idx="11">
                  <c:v>1.1222522684118652</c:v>
                </c:pt>
                <c:pt idx="12">
                  <c:v>1.0393826331359415</c:v>
                </c:pt>
                <c:pt idx="13">
                  <c:v>0.96665726582602551</c:v>
                </c:pt>
                <c:pt idx="14">
                  <c:v>0.90824894008228219</c:v>
                </c:pt>
                <c:pt idx="15">
                  <c:v>0.80239430382714072</c:v>
                </c:pt>
                <c:pt idx="16">
                  <c:v>0.61937082969134272</c:v>
                </c:pt>
                <c:pt idx="17">
                  <c:v>0.71431678205759552</c:v>
                </c:pt>
              </c:numCache>
            </c:numRef>
          </c:val>
          <c:smooth val="0"/>
          <c:extLst>
            <c:ext xmlns:c16="http://schemas.microsoft.com/office/drawing/2014/chart" uri="{C3380CC4-5D6E-409C-BE32-E72D297353CC}">
              <c16:uniqueId val="{00000001-F44E-4511-A2EB-A3828FA0C0D2}"/>
            </c:ext>
          </c:extLst>
        </c:ser>
        <c:ser>
          <c:idx val="2"/>
          <c:order val="2"/>
          <c:tx>
            <c:strRef>
              <c:f>Sheet3!$E$3</c:f>
              <c:strCache>
                <c:ptCount val="1"/>
                <c:pt idx="0">
                  <c:v>Young Chicken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Sheet3!$B$57:$B$74</c:f>
              <c:numCache>
                <c:formatCode>General</c:formatCode>
                <c:ptCount val="18"/>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numCache>
            </c:numRef>
          </c:cat>
          <c:val>
            <c:numRef>
              <c:f>Sheet3!$I$57:$I$73</c:f>
              <c:numCache>
                <c:formatCode>General</c:formatCode>
                <c:ptCount val="17"/>
                <c:pt idx="0">
                  <c:v>1.0493345837205827</c:v>
                </c:pt>
                <c:pt idx="1">
                  <c:v>1.0578378697168282</c:v>
                </c:pt>
                <c:pt idx="2">
                  <c:v>1.0065151143239506</c:v>
                </c:pt>
                <c:pt idx="3">
                  <c:v>1.0423464948013588</c:v>
                </c:pt>
                <c:pt idx="4">
                  <c:v>1.0380675782558495</c:v>
                </c:pt>
                <c:pt idx="5">
                  <c:v>1.0362372201868075</c:v>
                </c:pt>
                <c:pt idx="6">
                  <c:v>1.0300673376891751</c:v>
                </c:pt>
                <c:pt idx="7">
                  <c:v>1.034873542817488</c:v>
                </c:pt>
                <c:pt idx="8">
                  <c:v>1.0319946683711467</c:v>
                </c:pt>
                <c:pt idx="9">
                  <c:v>1.0333947104703147</c:v>
                </c:pt>
                <c:pt idx="10">
                  <c:v>1.0405767446153975</c:v>
                </c:pt>
                <c:pt idx="11">
                  <c:v>1.0284127424810676</c:v>
                </c:pt>
                <c:pt idx="12">
                  <c:v>0.99840577956773058</c:v>
                </c:pt>
                <c:pt idx="13">
                  <c:v>0.94009493525562882</c:v>
                </c:pt>
                <c:pt idx="14">
                  <c:v>0.90742122548673376</c:v>
                </c:pt>
                <c:pt idx="15">
                  <c:v>0.94560419182767963</c:v>
                </c:pt>
                <c:pt idx="16">
                  <c:v>0.98198104325281577</c:v>
                </c:pt>
              </c:numCache>
            </c:numRef>
          </c:val>
          <c:smooth val="0"/>
          <c:extLst>
            <c:ext xmlns:c16="http://schemas.microsoft.com/office/drawing/2014/chart" uri="{C3380CC4-5D6E-409C-BE32-E72D297353CC}">
              <c16:uniqueId val="{00000002-F44E-4511-A2EB-A3828FA0C0D2}"/>
            </c:ext>
          </c:extLst>
        </c:ser>
        <c:dLbls>
          <c:showLegendKey val="0"/>
          <c:showVal val="0"/>
          <c:showCatName val="0"/>
          <c:showSerName val="0"/>
          <c:showPercent val="0"/>
          <c:showBubbleSize val="0"/>
        </c:dLbls>
        <c:marker val="1"/>
        <c:smooth val="0"/>
        <c:axId val="848328608"/>
        <c:axId val="1"/>
      </c:lineChart>
      <c:catAx>
        <c:axId val="84832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2019 Weekly Average</a:t>
                </a:r>
              </a:p>
            </c:rich>
          </c:tx>
          <c:overlay val="0"/>
          <c:spPr>
            <a:noFill/>
            <a:ln w="25400">
              <a:noFill/>
            </a:ln>
          </c:spPr>
        </c:title>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328608"/>
        <c:crosses val="autoZero"/>
        <c:crossBetween val="between"/>
      </c:valAx>
      <c:spPr>
        <a:noFill/>
        <a:ln w="25400">
          <a:noFill/>
        </a:ln>
      </c:spPr>
    </c:plotArea>
    <c:legend>
      <c:legendPos val="b"/>
      <c:layout>
        <c:manualLayout>
          <c:xMode val="edge"/>
          <c:yMode val="edge"/>
          <c:x val="0.13975544464164893"/>
          <c:y val="0.89409669585694318"/>
          <c:w val="0.78234612329747699"/>
          <c:h val="7.8125542718375129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 (2)'!$N$848</c:f>
              <c:strCache>
                <c:ptCount val="1"/>
                <c:pt idx="0">
                  <c:v>2020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'C (2)'!$C$839:$C$890</c:f>
              <c:numCache>
                <c:formatCode>0.00</c:formatCode>
                <c:ptCount val="52"/>
                <c:pt idx="0">
                  <c:v>209.74199829101562</c:v>
                </c:pt>
                <c:pt idx="1">
                  <c:v>212.58199768066407</c:v>
                </c:pt>
                <c:pt idx="2">
                  <c:v>214.78400268554688</c:v>
                </c:pt>
                <c:pt idx="3">
                  <c:v>213.26200256347656</c:v>
                </c:pt>
                <c:pt idx="4">
                  <c:v>210.85199584960938</c:v>
                </c:pt>
                <c:pt idx="5">
                  <c:v>207.51799926757812</c:v>
                </c:pt>
                <c:pt idx="6">
                  <c:v>205.71000061035156</c:v>
                </c:pt>
                <c:pt idx="7">
                  <c:v>206.34400024414063</c:v>
                </c:pt>
                <c:pt idx="8">
                  <c:v>206.93800048828126</c:v>
                </c:pt>
                <c:pt idx="9">
                  <c:v>207.15399780273438</c:v>
                </c:pt>
                <c:pt idx="10">
                  <c:v>243.02999877929688</c:v>
                </c:pt>
                <c:pt idx="11">
                  <c:v>255.06800231933593</c:v>
                </c:pt>
                <c:pt idx="12">
                  <c:v>238.4739990234375</c:v>
                </c:pt>
                <c:pt idx="13">
                  <c:v>225.37399902343751</c:v>
                </c:pt>
                <c:pt idx="14">
                  <c:v>231.58399853515624</c:v>
                </c:pt>
                <c:pt idx="15" formatCode="General">
                  <c:v>272.33</c:v>
                </c:pt>
                <c:pt idx="16" formatCode="General">
                  <c:v>349.01</c:v>
                </c:pt>
                <c:pt idx="17" formatCode="General">
                  <c:v>441.53</c:v>
                </c:pt>
              </c:numCache>
            </c:numRef>
          </c:val>
          <c:smooth val="0"/>
          <c:extLst>
            <c:ext xmlns:c16="http://schemas.microsoft.com/office/drawing/2014/chart" uri="{C3380CC4-5D6E-409C-BE32-E72D297353CC}">
              <c16:uniqueId val="{00000000-FD42-4FE5-B4E2-A150B857584A}"/>
            </c:ext>
          </c:extLst>
        </c:ser>
        <c:ser>
          <c:idx val="1"/>
          <c:order val="1"/>
          <c:tx>
            <c:strRef>
              <c:f>'C (2)'!$N$847</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 (2)'!$C$786:$C$838</c:f>
              <c:numCache>
                <c:formatCode>General</c:formatCode>
                <c:ptCount val="53"/>
                <c:pt idx="0">
                  <c:v>215.75</c:v>
                </c:pt>
                <c:pt idx="1">
                  <c:v>213.7</c:v>
                </c:pt>
                <c:pt idx="2">
                  <c:v>212.36</c:v>
                </c:pt>
                <c:pt idx="3">
                  <c:v>216.71</c:v>
                </c:pt>
                <c:pt idx="4">
                  <c:v>216.65</c:v>
                </c:pt>
                <c:pt idx="5">
                  <c:v>216.86</c:v>
                </c:pt>
                <c:pt idx="6">
                  <c:v>216.68</c:v>
                </c:pt>
                <c:pt idx="7">
                  <c:v>217.72</c:v>
                </c:pt>
                <c:pt idx="8">
                  <c:v>219.98</c:v>
                </c:pt>
                <c:pt idx="9">
                  <c:v>224.94</c:v>
                </c:pt>
                <c:pt idx="10">
                  <c:v>227.7</c:v>
                </c:pt>
                <c:pt idx="11">
                  <c:v>228.95</c:v>
                </c:pt>
                <c:pt idx="12">
                  <c:v>228.2</c:v>
                </c:pt>
                <c:pt idx="13">
                  <c:v>226.48</c:v>
                </c:pt>
                <c:pt idx="14">
                  <c:v>228.72</c:v>
                </c:pt>
                <c:pt idx="15">
                  <c:v>232.5</c:v>
                </c:pt>
                <c:pt idx="16">
                  <c:v>233.49</c:v>
                </c:pt>
                <c:pt idx="17">
                  <c:v>230.27</c:v>
                </c:pt>
                <c:pt idx="18">
                  <c:v>223.49</c:v>
                </c:pt>
                <c:pt idx="19">
                  <c:v>220.23</c:v>
                </c:pt>
                <c:pt idx="20">
                  <c:v>220.64</c:v>
                </c:pt>
                <c:pt idx="21">
                  <c:v>223.4</c:v>
                </c:pt>
                <c:pt idx="22">
                  <c:v>222.57</c:v>
                </c:pt>
                <c:pt idx="23">
                  <c:v>222.11</c:v>
                </c:pt>
                <c:pt idx="24">
                  <c:v>220.9</c:v>
                </c:pt>
                <c:pt idx="25">
                  <c:v>219.55</c:v>
                </c:pt>
                <c:pt idx="26">
                  <c:v>219.28</c:v>
                </c:pt>
                <c:pt idx="27">
                  <c:v>214.64</c:v>
                </c:pt>
                <c:pt idx="28">
                  <c:v>213.11</c:v>
                </c:pt>
                <c:pt idx="29">
                  <c:v>213.09</c:v>
                </c:pt>
                <c:pt idx="30">
                  <c:v>213.96</c:v>
                </c:pt>
                <c:pt idx="31">
                  <c:v>216.04</c:v>
                </c:pt>
                <c:pt idx="32">
                  <c:v>230.43</c:v>
                </c:pt>
                <c:pt idx="33">
                  <c:v>239.87</c:v>
                </c:pt>
                <c:pt idx="34">
                  <c:v>234.35</c:v>
                </c:pt>
                <c:pt idx="35">
                  <c:v>229.51</c:v>
                </c:pt>
                <c:pt idx="36">
                  <c:v>222.61</c:v>
                </c:pt>
                <c:pt idx="37">
                  <c:v>218.75</c:v>
                </c:pt>
                <c:pt idx="38">
                  <c:v>214.51</c:v>
                </c:pt>
                <c:pt idx="39">
                  <c:v>212.58</c:v>
                </c:pt>
                <c:pt idx="40">
                  <c:v>214.12</c:v>
                </c:pt>
                <c:pt idx="41">
                  <c:v>217.93</c:v>
                </c:pt>
                <c:pt idx="42">
                  <c:v>223.08</c:v>
                </c:pt>
                <c:pt idx="43">
                  <c:v>230.78</c:v>
                </c:pt>
                <c:pt idx="44">
                  <c:v>237.08</c:v>
                </c:pt>
                <c:pt idx="45">
                  <c:v>240.66</c:v>
                </c:pt>
                <c:pt idx="46">
                  <c:v>236.75</c:v>
                </c:pt>
                <c:pt idx="47">
                  <c:v>232.36</c:v>
                </c:pt>
                <c:pt idx="48" formatCode="0.00">
                  <c:v>227.9739990234375</c:v>
                </c:pt>
                <c:pt idx="49" formatCode="0.00">
                  <c:v>219.14399719238281</c:v>
                </c:pt>
                <c:pt idx="50" formatCode="0.00">
                  <c:v>211.6300018310547</c:v>
                </c:pt>
                <c:pt idx="51" formatCode="0.00">
                  <c:v>210.22666931152344</c:v>
                </c:pt>
                <c:pt idx="52" formatCode="0.00">
                  <c:v>208.95500183105469</c:v>
                </c:pt>
              </c:numCache>
            </c:numRef>
          </c:val>
          <c:smooth val="0"/>
          <c:extLst>
            <c:ext xmlns:c16="http://schemas.microsoft.com/office/drawing/2014/chart" uri="{C3380CC4-5D6E-409C-BE32-E72D297353CC}">
              <c16:uniqueId val="{00000001-FD42-4FE5-B4E2-A150B857584A}"/>
            </c:ext>
          </c:extLst>
        </c:ser>
        <c:ser>
          <c:idx val="2"/>
          <c:order val="2"/>
          <c:tx>
            <c:strRef>
              <c:f>'C (2)'!$N$681</c:f>
              <c:strCache>
                <c:ptCount val="1"/>
                <c:pt idx="0">
                  <c:v>Avg. 2016-18</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 (2)'!$Q$681:$Q$732</c:f>
              <c:numCache>
                <c:formatCode>0.00_)</c:formatCode>
                <c:ptCount val="52"/>
                <c:pt idx="0">
                  <c:v>212.02266581217449</c:v>
                </c:pt>
                <c:pt idx="1">
                  <c:v>212.09266743977864</c:v>
                </c:pt>
                <c:pt idx="2">
                  <c:v>208.75733256022136</c:v>
                </c:pt>
                <c:pt idx="3">
                  <c:v>206.73066528320314</c:v>
                </c:pt>
                <c:pt idx="4">
                  <c:v>208.07600118001301</c:v>
                </c:pt>
                <c:pt idx="5">
                  <c:v>205.15866699218751</c:v>
                </c:pt>
                <c:pt idx="6">
                  <c:v>203.74533386230465</c:v>
                </c:pt>
                <c:pt idx="7">
                  <c:v>209.17466613769531</c:v>
                </c:pt>
                <c:pt idx="8">
                  <c:v>215.418666788737</c:v>
                </c:pt>
                <c:pt idx="9">
                  <c:v>220.23533426920574</c:v>
                </c:pt>
                <c:pt idx="10">
                  <c:v>225.92999938964843</c:v>
                </c:pt>
                <c:pt idx="11">
                  <c:v>224.63933308919272</c:v>
                </c:pt>
                <c:pt idx="12">
                  <c:v>220.4439998372396</c:v>
                </c:pt>
                <c:pt idx="13">
                  <c:v>214.53599955240884</c:v>
                </c:pt>
                <c:pt idx="14">
                  <c:v>214.92866658528646</c:v>
                </c:pt>
                <c:pt idx="15">
                  <c:v>216.56066670735677</c:v>
                </c:pt>
                <c:pt idx="16">
                  <c:v>217.90266723632814</c:v>
                </c:pt>
                <c:pt idx="17">
                  <c:v>221.69066772460937</c:v>
                </c:pt>
                <c:pt idx="18">
                  <c:v>229.38666768391928</c:v>
                </c:pt>
                <c:pt idx="19">
                  <c:v>235.34</c:v>
                </c:pt>
                <c:pt idx="20">
                  <c:v>232.93666666666664</c:v>
                </c:pt>
                <c:pt idx="21">
                  <c:v>231.92999999999998</c:v>
                </c:pt>
                <c:pt idx="22">
                  <c:v>234.25666666666666</c:v>
                </c:pt>
                <c:pt idx="23">
                  <c:v>233.30333333333331</c:v>
                </c:pt>
                <c:pt idx="24">
                  <c:v>226.79</c:v>
                </c:pt>
                <c:pt idx="25">
                  <c:v>218.17333333333332</c:v>
                </c:pt>
                <c:pt idx="26">
                  <c:v>213.35666666666668</c:v>
                </c:pt>
                <c:pt idx="27">
                  <c:v>208.47</c:v>
                </c:pt>
                <c:pt idx="28">
                  <c:v>204.52999999999997</c:v>
                </c:pt>
                <c:pt idx="29">
                  <c:v>203.52666666666667</c:v>
                </c:pt>
                <c:pt idx="30">
                  <c:v>202.65666666666667</c:v>
                </c:pt>
                <c:pt idx="31">
                  <c:v>202.60666666666665</c:v>
                </c:pt>
                <c:pt idx="32">
                  <c:v>202.66666666666666</c:v>
                </c:pt>
                <c:pt idx="33">
                  <c:v>202.16666666666666</c:v>
                </c:pt>
                <c:pt idx="34">
                  <c:v>199.78333333333333</c:v>
                </c:pt>
                <c:pt idx="35">
                  <c:v>196.99</c:v>
                </c:pt>
                <c:pt idx="36">
                  <c:v>194.20000000000002</c:v>
                </c:pt>
                <c:pt idx="37">
                  <c:v>194.48</c:v>
                </c:pt>
                <c:pt idx="38">
                  <c:v>196.50333333333333</c:v>
                </c:pt>
                <c:pt idx="39">
                  <c:v>195.47</c:v>
                </c:pt>
                <c:pt idx="40">
                  <c:v>194.20333333333335</c:v>
                </c:pt>
                <c:pt idx="41">
                  <c:v>194.78666666666666</c:v>
                </c:pt>
                <c:pt idx="42">
                  <c:v>198.18333333333331</c:v>
                </c:pt>
                <c:pt idx="43">
                  <c:v>203.51</c:v>
                </c:pt>
                <c:pt idx="44">
                  <c:v>205.14333333333335</c:v>
                </c:pt>
                <c:pt idx="45">
                  <c:v>202.35</c:v>
                </c:pt>
                <c:pt idx="46">
                  <c:v>202.92</c:v>
                </c:pt>
                <c:pt idx="47">
                  <c:v>203.34</c:v>
                </c:pt>
                <c:pt idx="48">
                  <c:v>203.38333333333333</c:v>
                </c:pt>
                <c:pt idx="49">
                  <c:v>202.72000000000003</c:v>
                </c:pt>
                <c:pt idx="50">
                  <c:v>203.36</c:v>
                </c:pt>
                <c:pt idx="51">
                  <c:v>206.42666666666665</c:v>
                </c:pt>
              </c:numCache>
            </c:numRef>
          </c:val>
          <c:smooth val="0"/>
          <c:extLst>
            <c:ext xmlns:c16="http://schemas.microsoft.com/office/drawing/2014/chart" uri="{C3380CC4-5D6E-409C-BE32-E72D297353CC}">
              <c16:uniqueId val="{00000002-FD42-4FE5-B4E2-A150B857584A}"/>
            </c:ext>
          </c:extLst>
        </c:ser>
        <c:dLbls>
          <c:showLegendKey val="0"/>
          <c:showVal val="0"/>
          <c:showCatName val="0"/>
          <c:showSerName val="0"/>
          <c:showPercent val="0"/>
          <c:showBubbleSize val="0"/>
        </c:dLbls>
        <c:marker val="1"/>
        <c:smooth val="0"/>
        <c:axId val="970646544"/>
        <c:axId val="1"/>
      </c:lineChart>
      <c:catAx>
        <c:axId val="970646544"/>
        <c:scaling>
          <c:orientation val="minMax"/>
        </c:scaling>
        <c:delete val="0"/>
        <c:axPos val="b"/>
        <c:title>
          <c:tx>
            <c:rich>
              <a:bodyPr rot="0" vert="horz"/>
              <a:lstStyle/>
              <a:p>
                <a:pPr>
                  <a:defRPr/>
                </a:pPr>
                <a:r>
                  <a:rPr lang="en-US"/>
                  <a:t>Week</a:t>
                </a:r>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tickLblSkip val="3"/>
        <c:noMultiLvlLbl val="0"/>
      </c:catAx>
      <c:valAx>
        <c:axId val="1"/>
        <c:scaling>
          <c:orientation val="minMax"/>
          <c:min val="175"/>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Cents/Lb.</a:t>
                </a:r>
              </a:p>
            </c:rich>
          </c:tx>
          <c:overlay val="0"/>
          <c:spPr>
            <a:noFill/>
            <a:ln w="25400">
              <a:noFill/>
            </a:ln>
          </c:spPr>
        </c:title>
        <c:numFmt formatCode="0" sourceLinked="0"/>
        <c:majorTickMark val="none"/>
        <c:minorTickMark val="none"/>
        <c:tickLblPos val="nextTo"/>
        <c:spPr>
          <a:ln w="9525">
            <a:noFill/>
          </a:ln>
        </c:spPr>
        <c:txPr>
          <a:bodyPr rot="-60000000" vert="horz"/>
          <a:lstStyle/>
          <a:p>
            <a:pPr>
              <a:defRPr/>
            </a:pPr>
            <a:endParaRPr lang="en-US"/>
          </a:p>
        </c:txPr>
        <c:crossAx val="970646544"/>
        <c:crosses val="autoZero"/>
        <c:crossBetween val="between"/>
      </c:valAx>
      <c:spPr>
        <a:noFill/>
        <a:ln w="25400">
          <a:noFill/>
        </a:ln>
      </c:spPr>
    </c:plotArea>
    <c:legend>
      <c:legendPos val="b"/>
      <c:overlay val="0"/>
      <c:spPr>
        <a:noFill/>
        <a:ln w="25400">
          <a:noFill/>
        </a:ln>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23024682073947"/>
          <c:y val="5.3244116578822442E-2"/>
          <c:w val="0.83907319415871995"/>
          <c:h val="0.66882508418236075"/>
        </c:manualLayout>
      </c:layout>
      <c:lineChart>
        <c:grouping val="standard"/>
        <c:varyColors val="0"/>
        <c:ser>
          <c:idx val="0"/>
          <c:order val="0"/>
          <c:tx>
            <c:strRef>
              <c:f>B!$L$315</c:f>
              <c:strCache>
                <c:ptCount val="1"/>
                <c:pt idx="0">
                  <c:v>2020</c:v>
                </c:pt>
              </c:strCache>
            </c:strRef>
          </c:tx>
          <c:val>
            <c:numRef>
              <c:f>B!$C$374:$C$425</c:f>
              <c:numCache>
                <c:formatCode>0.00_)</c:formatCode>
                <c:ptCount val="52"/>
                <c:pt idx="0">
                  <c:v>73.263999938964844</c:v>
                </c:pt>
                <c:pt idx="1">
                  <c:v>74.819999694824219</c:v>
                </c:pt>
                <c:pt idx="2">
                  <c:v>78.051998901367185</c:v>
                </c:pt>
                <c:pt idx="3">
                  <c:v>73</c:v>
                </c:pt>
                <c:pt idx="4">
                  <c:v>66.685998535156244</c:v>
                </c:pt>
                <c:pt idx="5">
                  <c:v>63.695999145507812</c:v>
                </c:pt>
                <c:pt idx="6">
                  <c:v>64.264001464843744</c:v>
                </c:pt>
                <c:pt idx="7">
                  <c:v>65.038000488281256</c:v>
                </c:pt>
                <c:pt idx="8">
                  <c:v>66.448001098632815</c:v>
                </c:pt>
                <c:pt idx="9">
                  <c:v>68.751998901367188</c:v>
                </c:pt>
                <c:pt idx="10">
                  <c:v>76.333999633789062</c:v>
                </c:pt>
                <c:pt idx="11">
                  <c:v>79.198001098632815</c:v>
                </c:pt>
                <c:pt idx="12">
                  <c:v>62.875999450683594</c:v>
                </c:pt>
                <c:pt idx="13">
                  <c:v>53.549999237060547</c:v>
                </c:pt>
                <c:pt idx="14">
                  <c:v>54.805999542236329</c:v>
                </c:pt>
                <c:pt idx="15">
                  <c:v>72.692000000000007</c:v>
                </c:pt>
                <c:pt idx="16">
                  <c:v>94.051999999999992</c:v>
                </c:pt>
                <c:pt idx="17" formatCode="General">
                  <c:v>113.94</c:v>
                </c:pt>
              </c:numCache>
            </c:numRef>
          </c:val>
          <c:smooth val="0"/>
          <c:extLst>
            <c:ext xmlns:c16="http://schemas.microsoft.com/office/drawing/2014/chart" uri="{C3380CC4-5D6E-409C-BE32-E72D297353CC}">
              <c16:uniqueId val="{00000000-928B-44F4-ACA3-0FE460311D17}"/>
            </c:ext>
          </c:extLst>
        </c:ser>
        <c:ser>
          <c:idx val="2"/>
          <c:order val="1"/>
          <c:tx>
            <c:strRef>
              <c:f>B!$L$314</c:f>
              <c:strCache>
                <c:ptCount val="1"/>
                <c:pt idx="0">
                  <c:v>2019</c:v>
                </c:pt>
              </c:strCache>
            </c:strRef>
          </c:tx>
          <c:spPr>
            <a:ln>
              <a:solidFill>
                <a:schemeClr val="accent6"/>
              </a:solidFill>
            </a:ln>
          </c:spPr>
          <c:marker>
            <c:symbol val="triangle"/>
            <c:size val="5"/>
            <c:spPr>
              <a:solidFill>
                <a:schemeClr val="accent6"/>
              </a:solidFill>
              <a:ln>
                <a:solidFill>
                  <a:schemeClr val="accent6"/>
                </a:solidFill>
              </a:ln>
            </c:spPr>
          </c:marker>
          <c:val>
            <c:numRef>
              <c:f>B!$C$321:$C$373</c:f>
              <c:numCache>
                <c:formatCode>General</c:formatCode>
                <c:ptCount val="53"/>
                <c:pt idx="0">
                  <c:v>69.959999999999994</c:v>
                </c:pt>
                <c:pt idx="1">
                  <c:v>70.36</c:v>
                </c:pt>
                <c:pt idx="2">
                  <c:v>70.25</c:v>
                </c:pt>
                <c:pt idx="3">
                  <c:v>68.819999999999993</c:v>
                </c:pt>
                <c:pt idx="4">
                  <c:v>67.84</c:v>
                </c:pt>
                <c:pt idx="5">
                  <c:v>65.98</c:v>
                </c:pt>
                <c:pt idx="6">
                  <c:v>64.069999999999993</c:v>
                </c:pt>
                <c:pt idx="7">
                  <c:v>60.38</c:v>
                </c:pt>
                <c:pt idx="8">
                  <c:v>60.77</c:v>
                </c:pt>
                <c:pt idx="9">
                  <c:v>63.57</c:v>
                </c:pt>
                <c:pt idx="10">
                  <c:v>67.92</c:v>
                </c:pt>
                <c:pt idx="11">
                  <c:v>74.92</c:v>
                </c:pt>
                <c:pt idx="12">
                  <c:v>81.09</c:v>
                </c:pt>
                <c:pt idx="13">
                  <c:v>81.64</c:v>
                </c:pt>
                <c:pt idx="14">
                  <c:v>84.1</c:v>
                </c:pt>
                <c:pt idx="15">
                  <c:v>87.13</c:v>
                </c:pt>
                <c:pt idx="16">
                  <c:v>86.35</c:v>
                </c:pt>
                <c:pt idx="17">
                  <c:v>83.03</c:v>
                </c:pt>
                <c:pt idx="18">
                  <c:v>85.3</c:v>
                </c:pt>
                <c:pt idx="19">
                  <c:v>87.02</c:v>
                </c:pt>
                <c:pt idx="20">
                  <c:v>84.86</c:v>
                </c:pt>
                <c:pt idx="21">
                  <c:v>83.74</c:v>
                </c:pt>
                <c:pt idx="22">
                  <c:v>83.59</c:v>
                </c:pt>
                <c:pt idx="23">
                  <c:v>83.31</c:v>
                </c:pt>
                <c:pt idx="24">
                  <c:v>79.2</c:v>
                </c:pt>
                <c:pt idx="25">
                  <c:v>74.98</c:v>
                </c:pt>
                <c:pt idx="26">
                  <c:v>72.790000000000006</c:v>
                </c:pt>
                <c:pt idx="27">
                  <c:v>72.209999999999994</c:v>
                </c:pt>
                <c:pt idx="28">
                  <c:v>76.06</c:v>
                </c:pt>
                <c:pt idx="29">
                  <c:v>82.18</c:v>
                </c:pt>
                <c:pt idx="30">
                  <c:v>86.62</c:v>
                </c:pt>
                <c:pt idx="31">
                  <c:v>88.88</c:v>
                </c:pt>
                <c:pt idx="32">
                  <c:v>88.56</c:v>
                </c:pt>
                <c:pt idx="33">
                  <c:v>81.94</c:v>
                </c:pt>
                <c:pt idx="34">
                  <c:v>73.790000000000006</c:v>
                </c:pt>
                <c:pt idx="35">
                  <c:v>73.19</c:v>
                </c:pt>
                <c:pt idx="36">
                  <c:v>71.010000000000005</c:v>
                </c:pt>
                <c:pt idx="37">
                  <c:v>68.63</c:v>
                </c:pt>
                <c:pt idx="38">
                  <c:v>71.12</c:v>
                </c:pt>
                <c:pt idx="39">
                  <c:v>74.73</c:v>
                </c:pt>
                <c:pt idx="40">
                  <c:v>77.13</c:v>
                </c:pt>
                <c:pt idx="41">
                  <c:v>77.41</c:v>
                </c:pt>
                <c:pt idx="42">
                  <c:v>76.150000000000006</c:v>
                </c:pt>
                <c:pt idx="43">
                  <c:v>75.98</c:v>
                </c:pt>
                <c:pt idx="44">
                  <c:v>80.5</c:v>
                </c:pt>
                <c:pt idx="45">
                  <c:v>87.41</c:v>
                </c:pt>
                <c:pt idx="46">
                  <c:v>84.99</c:v>
                </c:pt>
                <c:pt idx="47">
                  <c:v>82.03</c:v>
                </c:pt>
                <c:pt idx="48">
                  <c:v>81.58</c:v>
                </c:pt>
                <c:pt idx="49" formatCode="0.00_)">
                  <c:v>82.366001892089841</c:v>
                </c:pt>
                <c:pt idx="50" formatCode="0.00_)">
                  <c:v>77.781999206542963</c:v>
                </c:pt>
                <c:pt idx="51" formatCode="0.00_)">
                  <c:v>75.88333384195964</c:v>
                </c:pt>
                <c:pt idx="52" formatCode="0.00_)">
                  <c:v>73.959999084472656</c:v>
                </c:pt>
              </c:numCache>
            </c:numRef>
          </c:val>
          <c:smooth val="0"/>
          <c:extLst>
            <c:ext xmlns:c16="http://schemas.microsoft.com/office/drawing/2014/chart" uri="{C3380CC4-5D6E-409C-BE32-E72D297353CC}">
              <c16:uniqueId val="{00000001-928B-44F4-ACA3-0FE460311D17}"/>
            </c:ext>
          </c:extLst>
        </c:ser>
        <c:ser>
          <c:idx val="1"/>
          <c:order val="2"/>
          <c:tx>
            <c:strRef>
              <c:f>B!$K$224</c:f>
              <c:strCache>
                <c:ptCount val="1"/>
                <c:pt idx="0">
                  <c:v>Avg. 2016-18</c:v>
                </c:pt>
              </c:strCache>
            </c:strRef>
          </c:tx>
          <c:spPr>
            <a:ln>
              <a:solidFill>
                <a:schemeClr val="bg1">
                  <a:lumMod val="50000"/>
                </a:schemeClr>
              </a:solidFill>
            </a:ln>
          </c:spPr>
          <c:marker>
            <c:spPr>
              <a:solidFill>
                <a:schemeClr val="bg1">
                  <a:lumMod val="50000"/>
                </a:schemeClr>
              </a:solidFill>
              <a:ln>
                <a:solidFill>
                  <a:schemeClr val="bg1">
                    <a:lumMod val="50000"/>
                  </a:schemeClr>
                </a:solidFill>
              </a:ln>
            </c:spPr>
          </c:marker>
          <c:val>
            <c:numRef>
              <c:f>B!$N$224:$N$275</c:f>
              <c:numCache>
                <c:formatCode>0.00_)</c:formatCode>
                <c:ptCount val="52"/>
                <c:pt idx="0">
                  <c:v>76.089332987467444</c:v>
                </c:pt>
                <c:pt idx="1">
                  <c:v>76.746666870117195</c:v>
                </c:pt>
                <c:pt idx="2">
                  <c:v>78.22333323160808</c:v>
                </c:pt>
                <c:pt idx="3">
                  <c:v>80.197333374023444</c:v>
                </c:pt>
                <c:pt idx="4">
                  <c:v>81.085999959309902</c:v>
                </c:pt>
                <c:pt idx="5">
                  <c:v>79.691999918619786</c:v>
                </c:pt>
                <c:pt idx="6">
                  <c:v>79.396667073567713</c:v>
                </c:pt>
                <c:pt idx="7">
                  <c:v>78.802000325520837</c:v>
                </c:pt>
                <c:pt idx="8">
                  <c:v>78.24933349609374</c:v>
                </c:pt>
                <c:pt idx="9">
                  <c:v>77.855999857584649</c:v>
                </c:pt>
                <c:pt idx="10">
                  <c:v>77.258665873209637</c:v>
                </c:pt>
                <c:pt idx="11">
                  <c:v>75.696666666666658</c:v>
                </c:pt>
                <c:pt idx="12">
                  <c:v>74.500666809082034</c:v>
                </c:pt>
                <c:pt idx="13">
                  <c:v>73.987333068847647</c:v>
                </c:pt>
                <c:pt idx="14">
                  <c:v>73.16733378092448</c:v>
                </c:pt>
                <c:pt idx="15">
                  <c:v>74.519999898274747</c:v>
                </c:pt>
                <c:pt idx="16">
                  <c:v>74.65000000000002</c:v>
                </c:pt>
                <c:pt idx="17">
                  <c:v>76.146666666666661</c:v>
                </c:pt>
                <c:pt idx="18">
                  <c:v>78.75</c:v>
                </c:pt>
                <c:pt idx="19">
                  <c:v>81.31</c:v>
                </c:pt>
                <c:pt idx="20">
                  <c:v>83.05</c:v>
                </c:pt>
                <c:pt idx="21">
                  <c:v>84.429999999999993</c:v>
                </c:pt>
                <c:pt idx="22">
                  <c:v>85.71</c:v>
                </c:pt>
                <c:pt idx="23">
                  <c:v>88.06</c:v>
                </c:pt>
                <c:pt idx="24">
                  <c:v>91.05</c:v>
                </c:pt>
                <c:pt idx="25">
                  <c:v>92.993333333333339</c:v>
                </c:pt>
                <c:pt idx="26">
                  <c:v>93.34333333333332</c:v>
                </c:pt>
                <c:pt idx="27">
                  <c:v>93.036666666666676</c:v>
                </c:pt>
                <c:pt idx="28">
                  <c:v>92.15666666666668</c:v>
                </c:pt>
                <c:pt idx="29">
                  <c:v>87.410000000000011</c:v>
                </c:pt>
                <c:pt idx="30">
                  <c:v>83.006666666666675</c:v>
                </c:pt>
                <c:pt idx="31">
                  <c:v>81.083333333333329</c:v>
                </c:pt>
                <c:pt idx="32">
                  <c:v>78.55</c:v>
                </c:pt>
                <c:pt idx="33">
                  <c:v>76.636666666666656</c:v>
                </c:pt>
                <c:pt idx="34">
                  <c:v>76.043333333333337</c:v>
                </c:pt>
                <c:pt idx="35">
                  <c:v>77.493333333333325</c:v>
                </c:pt>
                <c:pt idx="36">
                  <c:v>77.223333333333343</c:v>
                </c:pt>
                <c:pt idx="37">
                  <c:v>77.49666666666667</c:v>
                </c:pt>
                <c:pt idx="38">
                  <c:v>76.376666666666665</c:v>
                </c:pt>
                <c:pt idx="39">
                  <c:v>75.25</c:v>
                </c:pt>
                <c:pt idx="40">
                  <c:v>75.283333333333331</c:v>
                </c:pt>
                <c:pt idx="41">
                  <c:v>75.773333333333326</c:v>
                </c:pt>
                <c:pt idx="42">
                  <c:v>75.790000000000006</c:v>
                </c:pt>
                <c:pt idx="43">
                  <c:v>76.273333333333326</c:v>
                </c:pt>
                <c:pt idx="44">
                  <c:v>76.006666666666661</c:v>
                </c:pt>
                <c:pt idx="45">
                  <c:v>74.726666666666674</c:v>
                </c:pt>
                <c:pt idx="46">
                  <c:v>74.206666666666663</c:v>
                </c:pt>
                <c:pt idx="47">
                  <c:v>75.093333333333348</c:v>
                </c:pt>
                <c:pt idx="48">
                  <c:v>76.850000000000009</c:v>
                </c:pt>
                <c:pt idx="49">
                  <c:v>76.100000000000009</c:v>
                </c:pt>
                <c:pt idx="50">
                  <c:v>75.87</c:v>
                </c:pt>
                <c:pt idx="51">
                  <c:v>76.58</c:v>
                </c:pt>
              </c:numCache>
            </c:numRef>
          </c:val>
          <c:smooth val="0"/>
          <c:extLst>
            <c:ext xmlns:c16="http://schemas.microsoft.com/office/drawing/2014/chart" uri="{C3380CC4-5D6E-409C-BE32-E72D297353CC}">
              <c16:uniqueId val="{00000002-928B-44F4-ACA3-0FE460311D17}"/>
            </c:ext>
          </c:extLst>
        </c:ser>
        <c:dLbls>
          <c:showLegendKey val="0"/>
          <c:showVal val="0"/>
          <c:showCatName val="0"/>
          <c:showSerName val="0"/>
          <c:showPercent val="0"/>
          <c:showBubbleSize val="0"/>
        </c:dLbls>
        <c:marker val="1"/>
        <c:smooth val="0"/>
        <c:axId val="325154416"/>
        <c:axId val="325154976"/>
      </c:lineChart>
      <c:catAx>
        <c:axId val="325154416"/>
        <c:scaling>
          <c:orientation val="minMax"/>
        </c:scaling>
        <c:delete val="0"/>
        <c:axPos val="b"/>
        <c:title>
          <c:tx>
            <c:rich>
              <a:bodyPr/>
              <a:lstStyle/>
              <a:p>
                <a:pPr>
                  <a:defRPr/>
                </a:pPr>
                <a:r>
                  <a:rPr lang="en-US"/>
                  <a:t>Week</a:t>
                </a:r>
              </a:p>
            </c:rich>
          </c:tx>
          <c:overlay val="0"/>
        </c:title>
        <c:numFmt formatCode="General" sourceLinked="1"/>
        <c:majorTickMark val="out"/>
        <c:minorTickMark val="none"/>
        <c:tickLblPos val="nextTo"/>
        <c:txPr>
          <a:bodyPr rot="0" vert="horz"/>
          <a:lstStyle/>
          <a:p>
            <a:pPr>
              <a:defRPr/>
            </a:pPr>
            <a:endParaRPr lang="en-US"/>
          </a:p>
        </c:txPr>
        <c:crossAx val="325154976"/>
        <c:crosses val="autoZero"/>
        <c:auto val="1"/>
        <c:lblAlgn val="ctr"/>
        <c:lblOffset val="100"/>
        <c:tickLblSkip val="3"/>
        <c:noMultiLvlLbl val="0"/>
      </c:catAx>
      <c:valAx>
        <c:axId val="325154976"/>
        <c:scaling>
          <c:orientation val="minMax"/>
          <c:min val="50"/>
        </c:scaling>
        <c:delete val="0"/>
        <c:axPos val="l"/>
        <c:majorGridlines/>
        <c:title>
          <c:tx>
            <c:rich>
              <a:bodyPr/>
              <a:lstStyle/>
              <a:p>
                <a:pPr>
                  <a:defRPr/>
                </a:pPr>
                <a:r>
                  <a:rPr lang="en-US"/>
                  <a:t>Cents/Lb.</a:t>
                </a:r>
              </a:p>
            </c:rich>
          </c:tx>
          <c:overlay val="0"/>
        </c:title>
        <c:numFmt formatCode="#,##0" sourceLinked="0"/>
        <c:majorTickMark val="out"/>
        <c:minorTickMark val="none"/>
        <c:tickLblPos val="nextTo"/>
        <c:txPr>
          <a:bodyPr rot="0" vert="horz"/>
          <a:lstStyle/>
          <a:p>
            <a:pPr>
              <a:defRPr/>
            </a:pPr>
            <a:endParaRPr lang="en-US"/>
          </a:p>
        </c:txPr>
        <c:crossAx val="325154416"/>
        <c:crosses val="autoZero"/>
        <c:crossBetween val="between"/>
      </c:valAx>
    </c:plotArea>
    <c:legend>
      <c:legendPos val="b"/>
      <c:layout>
        <c:manualLayout>
          <c:xMode val="edge"/>
          <c:yMode val="edge"/>
          <c:x val="0.20824792313804813"/>
          <c:y val="0.91004509051753146"/>
          <c:w val="0.63354443412357897"/>
          <c:h val="6.9503764253383893E-2"/>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Microsoft Office User</cp:lastModifiedBy>
  <cp:revision>2</cp:revision>
  <dcterms:created xsi:type="dcterms:W3CDTF">2020-05-11T13:43:00Z</dcterms:created>
  <dcterms:modified xsi:type="dcterms:W3CDTF">2020-05-11T13:43:00Z</dcterms:modified>
</cp:coreProperties>
</file>