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4003B" w14:textId="4985FFF0" w:rsidR="0037799B" w:rsidRDefault="0037799B" w:rsidP="002F3C19">
      <w:pPr>
        <w:shd w:val="clear" w:color="auto" w:fill="FFFFFF"/>
        <w:spacing w:after="0" w:line="240" w:lineRule="auto"/>
        <w:jc w:val="center"/>
        <w:rPr>
          <w:rFonts w:ascii="Cambria" w:eastAsia="Times New Roman" w:hAnsi="Cambria" w:cs="Times New Roman"/>
          <w:b/>
          <w:sz w:val="72"/>
          <w:szCs w:val="72"/>
        </w:rPr>
      </w:pPr>
      <w:r>
        <w:rPr>
          <w:rFonts w:ascii="Cambria" w:eastAsia="Times New Roman" w:hAnsi="Cambria" w:cs="Times New Roman"/>
          <w:b/>
          <w:noProof/>
          <w:sz w:val="72"/>
          <w:szCs w:val="72"/>
        </w:rPr>
        <w:drawing>
          <wp:anchor distT="0" distB="0" distL="114300" distR="114300" simplePos="0" relativeHeight="251659264" behindDoc="0" locked="0" layoutInCell="1" allowOverlap="1" wp14:anchorId="34B878D3" wp14:editId="7F650CCC">
            <wp:simplePos x="0" y="0"/>
            <wp:positionH relativeFrom="column">
              <wp:posOffset>1268362</wp:posOffset>
            </wp:positionH>
            <wp:positionV relativeFrom="paragraph">
              <wp:posOffset>0</wp:posOffset>
            </wp:positionV>
            <wp:extent cx="3401101" cy="993058"/>
            <wp:effectExtent l="0" t="0" r="2540" b="0"/>
            <wp:wrapNone/>
            <wp:docPr id="3" name="Picture 3"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OfAg-color-left-med-1.jpg"/>
                    <pic:cNvPicPr/>
                  </pic:nvPicPr>
                  <pic:blipFill rotWithShape="1">
                    <a:blip r:embed="rId4">
                      <a:extLst>
                        <a:ext uri="{28A0092B-C50C-407E-A947-70E740481C1C}">
                          <a14:useLocalDpi xmlns:a14="http://schemas.microsoft.com/office/drawing/2010/main" val="0"/>
                        </a:ext>
                      </a:extLst>
                    </a:blip>
                    <a:srcRect t="34656" b="35966"/>
                    <a:stretch/>
                  </pic:blipFill>
                  <pic:spPr bwMode="auto">
                    <a:xfrm>
                      <a:off x="0" y="0"/>
                      <a:ext cx="3401101" cy="9930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D9EDD6" w14:textId="77777777" w:rsidR="0037799B" w:rsidRDefault="0037799B" w:rsidP="002F3C19">
      <w:pPr>
        <w:shd w:val="clear" w:color="auto" w:fill="FFFFFF"/>
        <w:spacing w:after="0" w:line="240" w:lineRule="auto"/>
        <w:jc w:val="center"/>
        <w:rPr>
          <w:rFonts w:ascii="Cambria" w:eastAsia="Times New Roman" w:hAnsi="Cambria" w:cs="Times New Roman"/>
          <w:b/>
          <w:sz w:val="72"/>
          <w:szCs w:val="72"/>
        </w:rPr>
      </w:pPr>
    </w:p>
    <w:p w14:paraId="065DA1E8" w14:textId="025981EC" w:rsidR="002F3C19" w:rsidRPr="0037799B" w:rsidRDefault="002F3C19" w:rsidP="002F3C19">
      <w:pPr>
        <w:shd w:val="clear" w:color="auto" w:fill="FFFFFF"/>
        <w:spacing w:after="0" w:line="240" w:lineRule="auto"/>
        <w:jc w:val="center"/>
        <w:rPr>
          <w:rFonts w:ascii="Cambria" w:eastAsia="Times New Roman" w:hAnsi="Cambria" w:cs="Times New Roman"/>
          <w:b/>
          <w:sz w:val="72"/>
          <w:szCs w:val="72"/>
        </w:rPr>
      </w:pPr>
      <w:r w:rsidRPr="0037799B">
        <w:rPr>
          <w:rFonts w:ascii="Cambria" w:eastAsia="Times New Roman" w:hAnsi="Cambria" w:cs="Times New Roman"/>
          <w:b/>
          <w:sz w:val="72"/>
          <w:szCs w:val="72"/>
        </w:rPr>
        <w:t>COVID-19 Impacts on Arkansas’ Agricultural and Rural Economies</w:t>
      </w:r>
    </w:p>
    <w:p w14:paraId="511901F2" w14:textId="77777777" w:rsidR="002F3C19" w:rsidRPr="0037799B" w:rsidRDefault="002F3C19" w:rsidP="002F3C19">
      <w:pPr>
        <w:shd w:val="clear" w:color="auto" w:fill="FFFFFF"/>
        <w:spacing w:after="0" w:line="240" w:lineRule="auto"/>
        <w:jc w:val="center"/>
        <w:rPr>
          <w:rFonts w:ascii="Cambria" w:eastAsia="Times New Roman" w:hAnsi="Cambria" w:cs="Times New Roman"/>
          <w:b/>
        </w:rPr>
      </w:pPr>
    </w:p>
    <w:p w14:paraId="476C7163" w14:textId="77777777" w:rsidR="00FF0C3E" w:rsidRPr="0037799B" w:rsidRDefault="00FF0C3E" w:rsidP="002F3C19">
      <w:pPr>
        <w:shd w:val="clear" w:color="auto" w:fill="FFFFFF"/>
        <w:spacing w:after="0" w:line="240" w:lineRule="auto"/>
        <w:jc w:val="center"/>
        <w:rPr>
          <w:rFonts w:ascii="Cambria" w:eastAsia="Times New Roman" w:hAnsi="Cambria" w:cs="Times New Roman"/>
          <w:b/>
        </w:rPr>
      </w:pPr>
    </w:p>
    <w:p w14:paraId="2646BFF4" w14:textId="77777777" w:rsidR="002F3C19" w:rsidRPr="0037799B" w:rsidRDefault="002F3C19" w:rsidP="002F3C19">
      <w:pPr>
        <w:shd w:val="clear" w:color="auto" w:fill="FFFFFF"/>
        <w:spacing w:after="0" w:line="240" w:lineRule="auto"/>
        <w:jc w:val="center"/>
        <w:rPr>
          <w:rFonts w:ascii="Cambria" w:eastAsia="Times New Roman" w:hAnsi="Cambria" w:cs="Times New Roman"/>
          <w:b/>
          <w:sz w:val="44"/>
          <w:szCs w:val="44"/>
        </w:rPr>
      </w:pPr>
      <w:r w:rsidRPr="0037799B">
        <w:rPr>
          <w:rFonts w:ascii="Cambria" w:eastAsia="Times New Roman" w:hAnsi="Cambria" w:cs="Times New Roman"/>
          <w:b/>
          <w:sz w:val="44"/>
          <w:szCs w:val="44"/>
        </w:rPr>
        <w:t xml:space="preserve">UPDATE: </w:t>
      </w:r>
      <w:r w:rsidR="007D1E45" w:rsidRPr="0037799B">
        <w:rPr>
          <w:rFonts w:ascii="Cambria" w:eastAsia="Times New Roman" w:hAnsi="Cambria" w:cs="Times New Roman"/>
          <w:b/>
          <w:sz w:val="44"/>
          <w:szCs w:val="44"/>
        </w:rPr>
        <w:t>Wholesale meat prices</w:t>
      </w:r>
    </w:p>
    <w:p w14:paraId="033EB715" w14:textId="77777777" w:rsidR="002F3C19" w:rsidRPr="0037799B" w:rsidRDefault="002F3C19" w:rsidP="002F3C19">
      <w:pPr>
        <w:shd w:val="clear" w:color="auto" w:fill="FFFFFF"/>
        <w:spacing w:after="0" w:line="240" w:lineRule="auto"/>
        <w:rPr>
          <w:rFonts w:ascii="Cambria" w:eastAsia="Times New Roman" w:hAnsi="Cambria" w:cs="Times New Roman"/>
          <w:b/>
        </w:rPr>
      </w:pPr>
    </w:p>
    <w:p w14:paraId="18024007" w14:textId="77777777" w:rsidR="002F3C19" w:rsidRPr="0037799B" w:rsidRDefault="002F3C19" w:rsidP="002F3C19">
      <w:pPr>
        <w:shd w:val="clear" w:color="auto" w:fill="FFFFFF"/>
        <w:spacing w:after="0" w:line="240" w:lineRule="auto"/>
        <w:rPr>
          <w:rFonts w:ascii="Cambria" w:eastAsia="Times New Roman" w:hAnsi="Cambria" w:cs="Times New Roman"/>
          <w:b/>
        </w:rPr>
      </w:pPr>
    </w:p>
    <w:p w14:paraId="295F0425" w14:textId="77777777" w:rsidR="002F3C19" w:rsidRPr="0037799B" w:rsidRDefault="002F3C19" w:rsidP="002F3C19">
      <w:pPr>
        <w:shd w:val="clear" w:color="auto" w:fill="FFFFFF"/>
        <w:spacing w:after="0" w:line="240" w:lineRule="auto"/>
        <w:jc w:val="center"/>
        <w:rPr>
          <w:rFonts w:ascii="Cambria" w:eastAsia="Times New Roman" w:hAnsi="Cambria" w:cs="Times New Roman"/>
          <w:b/>
        </w:rPr>
      </w:pPr>
      <w:r w:rsidRPr="0037799B">
        <w:rPr>
          <w:rFonts w:ascii="Cambria" w:eastAsia="Times New Roman" w:hAnsi="Cambria" w:cs="Times New Roman"/>
          <w:b/>
        </w:rPr>
        <w:t>Prepared by:</w:t>
      </w:r>
    </w:p>
    <w:p w14:paraId="3D2EC161" w14:textId="77777777" w:rsidR="002F3C19" w:rsidRPr="0037799B" w:rsidRDefault="002F3C19" w:rsidP="002F3C19">
      <w:pPr>
        <w:shd w:val="clear" w:color="auto" w:fill="FFFFFF"/>
        <w:spacing w:after="0" w:line="240" w:lineRule="auto"/>
        <w:jc w:val="center"/>
        <w:rPr>
          <w:rFonts w:ascii="Cambria" w:eastAsia="Times New Roman" w:hAnsi="Cambria" w:cs="Times New Roman"/>
          <w:b/>
        </w:rPr>
      </w:pPr>
    </w:p>
    <w:p w14:paraId="45BD7A15" w14:textId="77777777" w:rsidR="002F3C19" w:rsidRPr="0037799B" w:rsidRDefault="002F3C19" w:rsidP="002F3C19">
      <w:pPr>
        <w:shd w:val="clear" w:color="auto" w:fill="FFFFFF"/>
        <w:spacing w:after="0" w:line="240" w:lineRule="auto"/>
        <w:jc w:val="center"/>
        <w:rPr>
          <w:rFonts w:ascii="Cambria" w:eastAsia="Times New Roman" w:hAnsi="Cambria" w:cs="Times New Roman"/>
          <w:b/>
        </w:rPr>
      </w:pPr>
    </w:p>
    <w:p w14:paraId="11015B49" w14:textId="77777777" w:rsidR="002F3C19" w:rsidRPr="0037799B" w:rsidRDefault="002F3C19" w:rsidP="002F3C19">
      <w:pPr>
        <w:shd w:val="clear" w:color="auto" w:fill="FFFFFF"/>
        <w:spacing w:after="0" w:line="240" w:lineRule="auto"/>
        <w:jc w:val="center"/>
        <w:rPr>
          <w:rFonts w:ascii="Cambria" w:eastAsia="Times New Roman" w:hAnsi="Cambria" w:cs="Times New Roman"/>
          <w:b/>
        </w:rPr>
      </w:pPr>
      <w:r w:rsidRPr="0037799B">
        <w:rPr>
          <w:rFonts w:ascii="Cambria" w:eastAsia="Times New Roman" w:hAnsi="Cambria" w:cs="Times New Roman"/>
          <w:b/>
        </w:rPr>
        <w:t>John Anderson</w:t>
      </w:r>
    </w:p>
    <w:p w14:paraId="7C17C952" w14:textId="77777777" w:rsidR="002F3C19" w:rsidRPr="0037799B" w:rsidRDefault="002F3C19" w:rsidP="002F3C19">
      <w:pPr>
        <w:shd w:val="clear" w:color="auto" w:fill="FFFFFF"/>
        <w:spacing w:after="0" w:line="240" w:lineRule="auto"/>
        <w:jc w:val="center"/>
        <w:rPr>
          <w:rFonts w:ascii="Cambria" w:eastAsia="Times New Roman" w:hAnsi="Cambria" w:cs="Times New Roman"/>
          <w:b/>
        </w:rPr>
      </w:pPr>
      <w:r w:rsidRPr="0037799B">
        <w:rPr>
          <w:rFonts w:ascii="Cambria" w:eastAsia="Times New Roman" w:hAnsi="Cambria" w:cs="Times New Roman"/>
          <w:b/>
        </w:rPr>
        <w:t xml:space="preserve">Department of Agricultural Economics and Agribusiness </w:t>
      </w:r>
    </w:p>
    <w:p w14:paraId="37934BC5" w14:textId="77777777" w:rsidR="002F3C19" w:rsidRPr="0037799B" w:rsidRDefault="002F3C19" w:rsidP="002F3C19">
      <w:pPr>
        <w:shd w:val="clear" w:color="auto" w:fill="FFFFFF"/>
        <w:spacing w:after="0" w:line="240" w:lineRule="auto"/>
        <w:jc w:val="center"/>
        <w:rPr>
          <w:rFonts w:ascii="Cambria" w:eastAsia="Times New Roman" w:hAnsi="Cambria" w:cs="Times New Roman"/>
          <w:b/>
        </w:rPr>
      </w:pPr>
    </w:p>
    <w:p w14:paraId="28CE9D82" w14:textId="77777777" w:rsidR="002F3C19" w:rsidRPr="0037799B" w:rsidRDefault="002F3C19" w:rsidP="002F3C19">
      <w:pPr>
        <w:shd w:val="clear" w:color="auto" w:fill="FFFFFF"/>
        <w:spacing w:after="0" w:line="240" w:lineRule="auto"/>
        <w:jc w:val="center"/>
        <w:rPr>
          <w:rFonts w:ascii="Cambria" w:eastAsia="Times New Roman" w:hAnsi="Cambria" w:cs="Times New Roman"/>
          <w:b/>
        </w:rPr>
      </w:pPr>
    </w:p>
    <w:p w14:paraId="197D4F02" w14:textId="77777777" w:rsidR="002F3C19" w:rsidRPr="0037799B" w:rsidRDefault="002F3C19" w:rsidP="002F3C19">
      <w:pPr>
        <w:shd w:val="clear" w:color="auto" w:fill="FFFFFF"/>
        <w:spacing w:after="0" w:line="240" w:lineRule="auto"/>
        <w:jc w:val="center"/>
        <w:rPr>
          <w:rFonts w:ascii="Cambria" w:eastAsia="Times New Roman" w:hAnsi="Cambria" w:cs="Times New Roman"/>
          <w:b/>
        </w:rPr>
      </w:pPr>
    </w:p>
    <w:p w14:paraId="774CBDD7" w14:textId="77777777" w:rsidR="002F3C19" w:rsidRPr="0037799B" w:rsidRDefault="007D1E45" w:rsidP="002F3C19">
      <w:pPr>
        <w:shd w:val="clear" w:color="auto" w:fill="FFFFFF"/>
        <w:spacing w:after="0" w:line="240" w:lineRule="auto"/>
        <w:jc w:val="center"/>
        <w:rPr>
          <w:rFonts w:ascii="Cambria" w:eastAsia="Times New Roman" w:hAnsi="Cambria" w:cs="Times New Roman"/>
          <w:b/>
        </w:rPr>
      </w:pPr>
      <w:r w:rsidRPr="0037799B">
        <w:rPr>
          <w:rFonts w:ascii="Cambria" w:eastAsia="Times New Roman" w:hAnsi="Cambria" w:cs="Times New Roman"/>
          <w:b/>
        </w:rPr>
        <w:t xml:space="preserve">May </w:t>
      </w:r>
      <w:r w:rsidR="00F101D4" w:rsidRPr="0037799B">
        <w:rPr>
          <w:rFonts w:ascii="Cambria" w:eastAsia="Times New Roman" w:hAnsi="Cambria" w:cs="Times New Roman"/>
          <w:b/>
        </w:rPr>
        <w:t>4</w:t>
      </w:r>
      <w:r w:rsidR="002F3C19" w:rsidRPr="0037799B">
        <w:rPr>
          <w:rFonts w:ascii="Cambria" w:eastAsia="Times New Roman" w:hAnsi="Cambria" w:cs="Times New Roman"/>
          <w:b/>
        </w:rPr>
        <w:t>, 2020</w:t>
      </w:r>
    </w:p>
    <w:p w14:paraId="561BD132" w14:textId="77777777" w:rsidR="002F3C19" w:rsidRPr="0037799B" w:rsidRDefault="002F3C19" w:rsidP="002F3C19">
      <w:pPr>
        <w:shd w:val="clear" w:color="auto" w:fill="FFFFFF"/>
        <w:spacing w:after="0" w:line="240" w:lineRule="auto"/>
        <w:jc w:val="center"/>
        <w:rPr>
          <w:rFonts w:ascii="Cambria" w:eastAsia="Times New Roman" w:hAnsi="Cambria" w:cs="Times New Roman"/>
          <w:b/>
        </w:rPr>
      </w:pPr>
    </w:p>
    <w:p w14:paraId="0435612E" w14:textId="3DAEDB13" w:rsidR="00B65108" w:rsidRPr="0037799B" w:rsidRDefault="002F3C19" w:rsidP="00BC6295">
      <w:pPr>
        <w:rPr>
          <w:rFonts w:ascii="Cambria" w:hAnsi="Cambria"/>
        </w:rPr>
      </w:pPr>
      <w:r w:rsidRPr="0037799B">
        <w:rPr>
          <w:rFonts w:ascii="Cambria" w:hAnsi="Cambria"/>
        </w:rPr>
        <w:br w:type="page"/>
      </w:r>
      <w:r w:rsidR="007D1E45" w:rsidRPr="0037799B">
        <w:rPr>
          <w:rFonts w:ascii="Cambria" w:hAnsi="Cambria"/>
        </w:rPr>
        <w:lastRenderedPageBreak/>
        <w:t xml:space="preserve">Beef and pork processing activity continued to slow this week, notwithstanding the </w:t>
      </w:r>
      <w:r w:rsidR="0037799B">
        <w:rPr>
          <w:rFonts w:ascii="Cambria" w:hAnsi="Cambria"/>
        </w:rPr>
        <w:t>p</w:t>
      </w:r>
      <w:r w:rsidR="007D1E45" w:rsidRPr="0037799B">
        <w:rPr>
          <w:rFonts w:ascii="Cambria" w:hAnsi="Cambria"/>
        </w:rPr>
        <w:t xml:space="preserve">resident’s invocation of the Defense Production Act to declare processing plants to be critical infrastructure.  In Friday afternoon’s </w:t>
      </w:r>
      <w:hyperlink r:id="rId5" w:history="1">
        <w:r w:rsidR="007D1E45" w:rsidRPr="0037799B">
          <w:rPr>
            <w:rStyle w:val="Hyperlink"/>
            <w:rFonts w:ascii="Cambria" w:hAnsi="Cambria"/>
          </w:rPr>
          <w:t>Estimated Daily Livestock Slaughter under Federal Inspection</w:t>
        </w:r>
      </w:hyperlink>
      <w:r w:rsidR="007D1E45" w:rsidRPr="0037799B">
        <w:rPr>
          <w:rFonts w:ascii="Cambria" w:hAnsi="Cambria"/>
        </w:rPr>
        <w:t xml:space="preserve"> report from USDA Agricultural Marketing Service, cattle slaughter is estimated to be down </w:t>
      </w:r>
      <w:r w:rsidR="009539D3" w:rsidRPr="0037799B">
        <w:rPr>
          <w:rFonts w:ascii="Cambria" w:hAnsi="Cambria"/>
        </w:rPr>
        <w:t xml:space="preserve">another 40,000 head (8.6%) from last week’s already low level.  Hog slaughter is estimated to be down another 440,000 head (22%) from last week.  </w:t>
      </w:r>
    </w:p>
    <w:p w14:paraId="0EDDD869" w14:textId="77777777" w:rsidR="009539D3" w:rsidRPr="0037799B" w:rsidRDefault="009539D3" w:rsidP="00BC6295">
      <w:pPr>
        <w:rPr>
          <w:rFonts w:ascii="Cambria" w:hAnsi="Cambria"/>
        </w:rPr>
      </w:pPr>
      <w:r w:rsidRPr="0037799B">
        <w:rPr>
          <w:rFonts w:ascii="Cambria" w:hAnsi="Cambria"/>
        </w:rPr>
        <w:t xml:space="preserve">The effects of several consecutive weeks of sharp declines in slaughter are showing up in wholesale meat prices.  </w:t>
      </w:r>
      <w:r w:rsidR="00C8070B" w:rsidRPr="0037799B">
        <w:rPr>
          <w:rFonts w:ascii="Cambria" w:hAnsi="Cambria"/>
        </w:rPr>
        <w:t xml:space="preserve">Two weeks ago, </w:t>
      </w:r>
      <w:r w:rsidRPr="0037799B">
        <w:rPr>
          <w:rFonts w:ascii="Cambria" w:hAnsi="Cambria"/>
        </w:rPr>
        <w:t>wholesale beef prices surged to a new record level</w:t>
      </w:r>
      <w:r w:rsidR="00C8070B" w:rsidRPr="0037799B">
        <w:rPr>
          <w:rFonts w:ascii="Cambria" w:hAnsi="Cambria"/>
        </w:rPr>
        <w:t xml:space="preserve"> at $272.33/hundredweight</w:t>
      </w:r>
      <w:r w:rsidR="0016274A" w:rsidRPr="0037799B">
        <w:rPr>
          <w:rFonts w:ascii="Cambria" w:hAnsi="Cambria"/>
        </w:rPr>
        <w:t xml:space="preserve"> (cwt)</w:t>
      </w:r>
      <w:r w:rsidR="00C8070B" w:rsidRPr="0037799B">
        <w:rPr>
          <w:rFonts w:ascii="Cambria" w:hAnsi="Cambria"/>
        </w:rPr>
        <w:t xml:space="preserve">.  </w:t>
      </w:r>
      <w:r w:rsidR="008A19BD" w:rsidRPr="0037799B">
        <w:rPr>
          <w:rFonts w:ascii="Cambria" w:hAnsi="Cambria"/>
        </w:rPr>
        <w:t xml:space="preserve">The previous record level on the Choice cutout was $263.19 in late-May 2015.  </w:t>
      </w:r>
      <w:r w:rsidR="00C8070B" w:rsidRPr="0037799B">
        <w:rPr>
          <w:rFonts w:ascii="Cambria" w:hAnsi="Cambria"/>
        </w:rPr>
        <w:t xml:space="preserve">Last week, </w:t>
      </w:r>
      <w:r w:rsidR="00CF65DE" w:rsidRPr="0037799B">
        <w:rPr>
          <w:rFonts w:ascii="Cambria" w:hAnsi="Cambria"/>
        </w:rPr>
        <w:t>th</w:t>
      </w:r>
      <w:r w:rsidRPr="0037799B">
        <w:rPr>
          <w:rFonts w:ascii="Cambria" w:hAnsi="Cambria"/>
        </w:rPr>
        <w:t>e Choice cutout v</w:t>
      </w:r>
      <w:r w:rsidR="00CF65DE" w:rsidRPr="0037799B">
        <w:rPr>
          <w:rFonts w:ascii="Cambria" w:hAnsi="Cambria"/>
        </w:rPr>
        <w:t>alue pushed further into record territory, reaching</w:t>
      </w:r>
      <w:r w:rsidRPr="0037799B">
        <w:rPr>
          <w:rFonts w:ascii="Cambria" w:hAnsi="Cambria"/>
        </w:rPr>
        <w:t xml:space="preserve"> $349.01/</w:t>
      </w:r>
      <w:r w:rsidR="0016274A" w:rsidRPr="0037799B">
        <w:rPr>
          <w:rFonts w:ascii="Cambria" w:hAnsi="Cambria"/>
        </w:rPr>
        <w:t>cwt</w:t>
      </w:r>
      <w:r w:rsidR="00CF65DE" w:rsidRPr="0037799B">
        <w:rPr>
          <w:rFonts w:ascii="Cambria" w:hAnsi="Cambria"/>
        </w:rPr>
        <w:t xml:space="preserve"> </w:t>
      </w:r>
      <w:r w:rsidRPr="0037799B">
        <w:rPr>
          <w:rFonts w:ascii="Cambria" w:hAnsi="Cambria"/>
        </w:rPr>
        <w:t xml:space="preserve">– an increase of $76.68 (28%) from the prior week.  Figure 1 shows the weekly average of the Choice boxed beef cutout value for the past three years.  </w:t>
      </w:r>
    </w:p>
    <w:p w14:paraId="6FC3FE8C" w14:textId="77777777" w:rsidR="00C8070B" w:rsidRPr="0037799B" w:rsidRDefault="00C8070B" w:rsidP="00BC6295">
      <w:pPr>
        <w:rPr>
          <w:rFonts w:ascii="Cambria" w:hAnsi="Cambria"/>
        </w:rPr>
      </w:pPr>
      <w:r w:rsidRPr="0037799B">
        <w:rPr>
          <w:rFonts w:ascii="Cambria" w:hAnsi="Cambria"/>
          <w:noProof/>
        </w:rPr>
        <w:drawing>
          <wp:inline distT="0" distB="0" distL="0" distR="0" wp14:anchorId="5E508105" wp14:editId="517296E0">
            <wp:extent cx="4171950" cy="2428875"/>
            <wp:effectExtent l="0" t="0" r="0" b="0"/>
            <wp:docPr id="1" name="Chart 1">
              <a:extLst xmlns:a="http://schemas.openxmlformats.org/drawingml/2006/main">
                <a:ext uri="{FF2B5EF4-FFF2-40B4-BE49-F238E27FC236}">
                  <a16:creationId xmlns:a16="http://schemas.microsoft.com/office/drawing/2014/main" id="{C59AD812-F40B-485A-88C3-FBC944CDD7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D0928DC" w14:textId="77777777" w:rsidR="00C8070B" w:rsidRPr="0037799B" w:rsidRDefault="00C8070B" w:rsidP="00CF65DE">
      <w:pPr>
        <w:spacing w:after="0"/>
        <w:rPr>
          <w:rFonts w:ascii="Cambria" w:hAnsi="Cambria"/>
          <w:sz w:val="20"/>
          <w:szCs w:val="20"/>
        </w:rPr>
      </w:pPr>
      <w:r w:rsidRPr="0037799B">
        <w:rPr>
          <w:rFonts w:ascii="Cambria" w:hAnsi="Cambria"/>
          <w:sz w:val="20"/>
          <w:szCs w:val="20"/>
        </w:rPr>
        <w:t>Data Source: USDA Agricultural Marketing Service through Livestock Marketing Information Center</w:t>
      </w:r>
      <w:r w:rsidR="00CF65DE" w:rsidRPr="0037799B">
        <w:rPr>
          <w:rFonts w:ascii="Cambria" w:hAnsi="Cambria"/>
          <w:sz w:val="20"/>
          <w:szCs w:val="20"/>
        </w:rPr>
        <w:t>.</w:t>
      </w:r>
    </w:p>
    <w:p w14:paraId="73715E41" w14:textId="77777777" w:rsidR="00C8070B" w:rsidRPr="0037799B" w:rsidRDefault="00C8070B" w:rsidP="00BC6295">
      <w:pPr>
        <w:rPr>
          <w:rFonts w:ascii="Cambria" w:hAnsi="Cambria"/>
        </w:rPr>
      </w:pPr>
      <w:r w:rsidRPr="0037799B">
        <w:rPr>
          <w:rFonts w:ascii="Cambria" w:hAnsi="Cambria"/>
          <w:b/>
        </w:rPr>
        <w:t>Figure 1.</w:t>
      </w:r>
      <w:r w:rsidRPr="0037799B">
        <w:rPr>
          <w:rFonts w:ascii="Cambria" w:hAnsi="Cambria"/>
        </w:rPr>
        <w:t xml:space="preserve">  Weekly Average Choice Boxed Beef Cutout Value</w:t>
      </w:r>
    </w:p>
    <w:p w14:paraId="5F39D7C0" w14:textId="199183DC" w:rsidR="00C8070B" w:rsidRPr="0037799B" w:rsidRDefault="00A127C9" w:rsidP="00BC6295">
      <w:pPr>
        <w:rPr>
          <w:rFonts w:ascii="Cambria" w:hAnsi="Cambria"/>
        </w:rPr>
      </w:pPr>
      <w:r w:rsidRPr="0037799B">
        <w:rPr>
          <w:rFonts w:ascii="Cambria" w:hAnsi="Cambria"/>
        </w:rPr>
        <w:t xml:space="preserve">The pork cutout has posted similar gains over the past couple of weeks. </w:t>
      </w:r>
      <w:r w:rsidR="00275746" w:rsidRPr="0037799B">
        <w:rPr>
          <w:rFonts w:ascii="Cambria" w:hAnsi="Cambria"/>
        </w:rPr>
        <w:t xml:space="preserve">For the week ending April </w:t>
      </w:r>
      <w:r w:rsidR="00280B58" w:rsidRPr="0037799B">
        <w:rPr>
          <w:rFonts w:ascii="Cambria" w:hAnsi="Cambria"/>
        </w:rPr>
        <w:t>10, the wholesale price of pork bottomed out at a cutout value of $53.55/</w:t>
      </w:r>
      <w:r w:rsidR="0016274A" w:rsidRPr="0037799B">
        <w:rPr>
          <w:rFonts w:ascii="Cambria" w:hAnsi="Cambria"/>
        </w:rPr>
        <w:t>cwt</w:t>
      </w:r>
      <w:r w:rsidR="00280B58" w:rsidRPr="0037799B">
        <w:rPr>
          <w:rFonts w:ascii="Cambria" w:hAnsi="Cambria"/>
        </w:rPr>
        <w:t>.</w:t>
      </w:r>
      <w:r w:rsidRPr="0037799B">
        <w:rPr>
          <w:rFonts w:ascii="Cambria" w:hAnsi="Cambria"/>
        </w:rPr>
        <w:t xml:space="preserve"> </w:t>
      </w:r>
      <w:r w:rsidR="00280B58" w:rsidRPr="0037799B">
        <w:rPr>
          <w:rFonts w:ascii="Cambria" w:hAnsi="Cambria"/>
        </w:rPr>
        <w:t>Last week, t</w:t>
      </w:r>
      <w:r w:rsidRPr="0037799B">
        <w:rPr>
          <w:rFonts w:ascii="Cambria" w:hAnsi="Cambria"/>
        </w:rPr>
        <w:t xml:space="preserve">he pork cutout climbed to </w:t>
      </w:r>
      <w:r w:rsidR="00280B58" w:rsidRPr="0037799B">
        <w:rPr>
          <w:rFonts w:ascii="Cambria" w:hAnsi="Cambria"/>
        </w:rPr>
        <w:t xml:space="preserve">$94.05, an increase of just over 75 percent in a three-week span. </w:t>
      </w:r>
      <w:r w:rsidR="0054692A" w:rsidRPr="0037799B">
        <w:rPr>
          <w:rFonts w:ascii="Cambria" w:hAnsi="Cambria"/>
        </w:rPr>
        <w:t>Figure 2 shows the weekly average of the pork cutout value for 2018 through 2020, year-to-date.</w:t>
      </w:r>
    </w:p>
    <w:p w14:paraId="4916CF92" w14:textId="77777777" w:rsidR="0054692A" w:rsidRPr="0037799B" w:rsidRDefault="0054692A" w:rsidP="00BC6295">
      <w:pPr>
        <w:rPr>
          <w:rFonts w:ascii="Cambria" w:hAnsi="Cambria"/>
        </w:rPr>
      </w:pPr>
      <w:r w:rsidRPr="0037799B">
        <w:rPr>
          <w:rFonts w:ascii="Cambria" w:hAnsi="Cambria"/>
        </w:rPr>
        <w:t xml:space="preserve">Obviously, wholesale pork prices have risen dramatically in the past three weeks, but they are not yet that far out of line with recent history.  A year ago, wholesale pork prices were in the high $80s.  As a point of reference, the record level for the pork cutout value is $136.11, posted for the week ending July 18, 2014; </w:t>
      </w:r>
      <w:proofErr w:type="gramStart"/>
      <w:r w:rsidRPr="0037799B">
        <w:rPr>
          <w:rFonts w:ascii="Cambria" w:hAnsi="Cambria"/>
        </w:rPr>
        <w:t>so</w:t>
      </w:r>
      <w:proofErr w:type="gramEnd"/>
      <w:r w:rsidRPr="0037799B">
        <w:rPr>
          <w:rFonts w:ascii="Cambria" w:hAnsi="Cambria"/>
        </w:rPr>
        <w:t xml:space="preserve"> the pork market is still has pretty far to go to reach uncharted price territory.  Given the magnitude of the disruptions roiling the market now, though, it’s hard to rule anything out.  </w:t>
      </w:r>
    </w:p>
    <w:p w14:paraId="0B25E052" w14:textId="77777777" w:rsidR="0054692A" w:rsidRPr="0037799B" w:rsidRDefault="0054692A" w:rsidP="00BC6295">
      <w:pPr>
        <w:rPr>
          <w:rFonts w:ascii="Cambria" w:hAnsi="Cambria"/>
        </w:rPr>
      </w:pPr>
      <w:r w:rsidRPr="0037799B">
        <w:rPr>
          <w:rFonts w:ascii="Cambria" w:hAnsi="Cambria"/>
          <w:noProof/>
        </w:rPr>
        <w:lastRenderedPageBreak/>
        <w:drawing>
          <wp:inline distT="0" distB="0" distL="0" distR="0" wp14:anchorId="3412E518" wp14:editId="53EB9BC4">
            <wp:extent cx="4438650" cy="2238375"/>
            <wp:effectExtent l="0" t="0" r="0" b="0"/>
            <wp:docPr id="2" name="Chart 2">
              <a:extLst xmlns:a="http://schemas.openxmlformats.org/drawingml/2006/main">
                <a:ext uri="{FF2B5EF4-FFF2-40B4-BE49-F238E27FC236}">
                  <a16:creationId xmlns:a16="http://schemas.microsoft.com/office/drawing/2014/main" id="{7FF105E1-8C22-498F-A2CA-923ABA2CB6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71B59D1" w14:textId="77777777" w:rsidR="00777F8D" w:rsidRPr="0037799B" w:rsidRDefault="00777F8D" w:rsidP="00777F8D">
      <w:pPr>
        <w:spacing w:after="0"/>
        <w:rPr>
          <w:rFonts w:ascii="Cambria" w:hAnsi="Cambria"/>
          <w:sz w:val="20"/>
          <w:szCs w:val="20"/>
        </w:rPr>
      </w:pPr>
      <w:r w:rsidRPr="0037799B">
        <w:rPr>
          <w:rFonts w:ascii="Cambria" w:hAnsi="Cambria"/>
          <w:sz w:val="20"/>
          <w:szCs w:val="20"/>
        </w:rPr>
        <w:t>Data Source: USDA Agricultural Marketing Service through Livestock Marketing Information Center.</w:t>
      </w:r>
    </w:p>
    <w:p w14:paraId="7F519152" w14:textId="77777777" w:rsidR="00777F8D" w:rsidRPr="0037799B" w:rsidRDefault="00777F8D" w:rsidP="00777F8D">
      <w:pPr>
        <w:rPr>
          <w:rFonts w:ascii="Cambria" w:hAnsi="Cambria"/>
        </w:rPr>
      </w:pPr>
      <w:r w:rsidRPr="0037799B">
        <w:rPr>
          <w:rFonts w:ascii="Cambria" w:hAnsi="Cambria"/>
          <w:b/>
        </w:rPr>
        <w:t xml:space="preserve">Figure </w:t>
      </w:r>
      <w:r w:rsidR="0054692A" w:rsidRPr="0037799B">
        <w:rPr>
          <w:rFonts w:ascii="Cambria" w:hAnsi="Cambria"/>
          <w:b/>
        </w:rPr>
        <w:t>2</w:t>
      </w:r>
      <w:r w:rsidRPr="0037799B">
        <w:rPr>
          <w:rFonts w:ascii="Cambria" w:hAnsi="Cambria"/>
          <w:b/>
        </w:rPr>
        <w:t>.</w:t>
      </w:r>
      <w:r w:rsidRPr="0037799B">
        <w:rPr>
          <w:rFonts w:ascii="Cambria" w:hAnsi="Cambria"/>
        </w:rPr>
        <w:t xml:space="preserve">  Weekly Average </w:t>
      </w:r>
      <w:r w:rsidR="0054692A" w:rsidRPr="0037799B">
        <w:rPr>
          <w:rFonts w:ascii="Cambria" w:hAnsi="Cambria"/>
        </w:rPr>
        <w:t>Pork</w:t>
      </w:r>
      <w:r w:rsidRPr="0037799B">
        <w:rPr>
          <w:rFonts w:ascii="Cambria" w:hAnsi="Cambria"/>
        </w:rPr>
        <w:t xml:space="preserve"> Cutout Value</w:t>
      </w:r>
    </w:p>
    <w:p w14:paraId="7740F44A" w14:textId="50682701" w:rsidR="00C8070B" w:rsidRPr="0037799B" w:rsidRDefault="0016274A" w:rsidP="00BC6295">
      <w:pPr>
        <w:rPr>
          <w:rFonts w:ascii="Cambria" w:hAnsi="Cambria"/>
        </w:rPr>
      </w:pPr>
      <w:r w:rsidRPr="0037799B">
        <w:rPr>
          <w:rFonts w:ascii="Cambria" w:hAnsi="Cambria"/>
        </w:rPr>
        <w:t xml:space="preserve">To summarize the current situation, processing plant disruptions have created a severe bottleneck in the beef and pork supply chains. Downstream from that bottleneck, wholesale meat prices have soared as customers face smaller supplies of available product. On the other hand, upstream from that bottleneck, livestock prices have fallen as market-ready supplies of animals continue to come to a market which no longer has enough capacity to handle them.  </w:t>
      </w:r>
    </w:p>
    <w:p w14:paraId="11E8C4AE" w14:textId="73FBE6C0" w:rsidR="0016274A" w:rsidRPr="0037799B" w:rsidRDefault="0016274A" w:rsidP="00BC6295">
      <w:pPr>
        <w:rPr>
          <w:rFonts w:ascii="Cambria" w:hAnsi="Cambria"/>
        </w:rPr>
      </w:pPr>
      <w:r w:rsidRPr="0037799B">
        <w:rPr>
          <w:rFonts w:ascii="Cambria" w:hAnsi="Cambria"/>
        </w:rPr>
        <w:t xml:space="preserve">Cattle prices remain under pressure due to the reduction in demand for fed cattle resulting from plant closings and slow-downs.  Two weeks ago, the </w:t>
      </w:r>
      <w:r w:rsidR="0037799B">
        <w:rPr>
          <w:rFonts w:ascii="Cambria" w:hAnsi="Cambria"/>
        </w:rPr>
        <w:t>five</w:t>
      </w:r>
      <w:r w:rsidRPr="0037799B">
        <w:rPr>
          <w:rFonts w:ascii="Cambria" w:hAnsi="Cambria"/>
        </w:rPr>
        <w:t xml:space="preserve">-area weighted average fed steer negotiated live price fell to $96.69/cwt.  Last week, the market improved a bit, with the </w:t>
      </w:r>
      <w:r w:rsidR="0037799B">
        <w:rPr>
          <w:rFonts w:ascii="Cambria" w:hAnsi="Cambria"/>
        </w:rPr>
        <w:t>five</w:t>
      </w:r>
      <w:r w:rsidRPr="0037799B">
        <w:rPr>
          <w:rFonts w:ascii="Cambria" w:hAnsi="Cambria"/>
        </w:rPr>
        <w:t xml:space="preserve">-area negotiated live price coming in at $98.18/cwt, its first increase in over a month.  The volume of transactions was relatively light, with just over 46,000 head traded in negotiated transactions.  Last year for the same week, negotiated transactions amounted to almost 129,000 head.  </w:t>
      </w:r>
      <w:r w:rsidR="00F101D4" w:rsidRPr="0037799B">
        <w:rPr>
          <w:rFonts w:ascii="Cambria" w:hAnsi="Cambria"/>
        </w:rPr>
        <w:t xml:space="preserve">Price behavior in the hog market has been similar to the cattle market.  Two weeks ago, negotiated hog prices fell to $33.85/cwt (carcass basis). Last week, negotiated hog prices rebounded a bit to $36.62.  Volume of sales are down some from a year ago, but not as much as for cattle.  Negotiated hog sales are already a very small percentage of the total volume of sales in the hog market.  </w:t>
      </w:r>
    </w:p>
    <w:p w14:paraId="29CDFC30" w14:textId="5E2BD473" w:rsidR="002F3C19" w:rsidRDefault="002F3C19">
      <w:pPr>
        <w:rPr>
          <w:rFonts w:ascii="Cambria" w:hAnsi="Cambria"/>
        </w:rPr>
      </w:pPr>
    </w:p>
    <w:p w14:paraId="528231BE" w14:textId="7DE8AF81" w:rsidR="0037799B" w:rsidRDefault="0037799B">
      <w:pPr>
        <w:rPr>
          <w:rFonts w:ascii="Cambria" w:hAnsi="Cambria"/>
        </w:rPr>
      </w:pPr>
    </w:p>
    <w:p w14:paraId="62A1DC26" w14:textId="76879A68" w:rsidR="0037799B" w:rsidRDefault="0037799B">
      <w:pPr>
        <w:rPr>
          <w:rFonts w:ascii="Cambria" w:hAnsi="Cambria"/>
        </w:rPr>
      </w:pPr>
    </w:p>
    <w:p w14:paraId="4B3B8A9B" w14:textId="46413BD8" w:rsidR="0037799B" w:rsidRDefault="0037799B">
      <w:pPr>
        <w:rPr>
          <w:rFonts w:ascii="Cambria" w:hAnsi="Cambria"/>
        </w:rPr>
      </w:pPr>
    </w:p>
    <w:p w14:paraId="4FA197A6" w14:textId="05438E67" w:rsidR="0037799B" w:rsidRDefault="0037799B">
      <w:pPr>
        <w:rPr>
          <w:rFonts w:ascii="Cambria" w:hAnsi="Cambria"/>
        </w:rPr>
      </w:pPr>
    </w:p>
    <w:p w14:paraId="0BBAC9C2" w14:textId="77777777" w:rsidR="0037799B" w:rsidRDefault="0037799B">
      <w:pPr>
        <w:rPr>
          <w:rFonts w:ascii="Cambria" w:hAnsi="Cambria"/>
        </w:rPr>
      </w:pPr>
    </w:p>
    <w:p w14:paraId="41F20CFA" w14:textId="77777777" w:rsidR="0037799B" w:rsidRPr="009406A9" w:rsidRDefault="0037799B" w:rsidP="0037799B">
      <w:pPr>
        <w:rPr>
          <w:rFonts w:ascii="Cambria" w:hAnsi="Cambria"/>
          <w:color w:val="A6A6A6" w:themeColor="background1" w:themeShade="A6"/>
        </w:rPr>
      </w:pPr>
      <w:r w:rsidRPr="009406A9">
        <w:rPr>
          <w:rFonts w:ascii="Cambria" w:hAnsi="Cambria"/>
          <w:color w:val="A6A6A6" w:themeColor="background1" w:themeShade="A6"/>
        </w:rPr>
        <w:t>The Universit</w:t>
      </w:r>
      <w:r>
        <w:rPr>
          <w:rFonts w:ascii="Cambria" w:hAnsi="Cambria"/>
          <w:color w:val="A6A6A6" w:themeColor="background1" w:themeShade="A6"/>
        </w:rPr>
        <w:t>y</w:t>
      </w:r>
      <w:r w:rsidRPr="009406A9">
        <w:rPr>
          <w:rFonts w:ascii="Cambria" w:hAnsi="Cambria"/>
          <w:color w:val="A6A6A6" w:themeColor="background1" w:themeShade="A6"/>
        </w:rPr>
        <w:t xml:space="preserve">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125780BA" w14:textId="77777777" w:rsidR="0037799B" w:rsidRPr="0037799B" w:rsidRDefault="0037799B">
      <w:pPr>
        <w:rPr>
          <w:rFonts w:ascii="Cambria" w:hAnsi="Cambria"/>
        </w:rPr>
      </w:pPr>
    </w:p>
    <w:sectPr w:rsidR="0037799B" w:rsidRPr="00377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19"/>
    <w:rsid w:val="000F26EF"/>
    <w:rsid w:val="0016274A"/>
    <w:rsid w:val="00165B26"/>
    <w:rsid w:val="001B0892"/>
    <w:rsid w:val="00275746"/>
    <w:rsid w:val="0027667F"/>
    <w:rsid w:val="00280B58"/>
    <w:rsid w:val="002F3C19"/>
    <w:rsid w:val="002F57A8"/>
    <w:rsid w:val="00307E8B"/>
    <w:rsid w:val="00323F35"/>
    <w:rsid w:val="00333AF4"/>
    <w:rsid w:val="00362BA5"/>
    <w:rsid w:val="0037799B"/>
    <w:rsid w:val="003A0A09"/>
    <w:rsid w:val="004A3E20"/>
    <w:rsid w:val="004B57FA"/>
    <w:rsid w:val="004B5A32"/>
    <w:rsid w:val="004C721C"/>
    <w:rsid w:val="0054692A"/>
    <w:rsid w:val="005A3638"/>
    <w:rsid w:val="005B0E04"/>
    <w:rsid w:val="005D17DA"/>
    <w:rsid w:val="006B4454"/>
    <w:rsid w:val="00777F8D"/>
    <w:rsid w:val="007D1E45"/>
    <w:rsid w:val="00802549"/>
    <w:rsid w:val="008A0499"/>
    <w:rsid w:val="008A19BD"/>
    <w:rsid w:val="009539D3"/>
    <w:rsid w:val="009A1BA5"/>
    <w:rsid w:val="00A127C9"/>
    <w:rsid w:val="00A5247D"/>
    <w:rsid w:val="00AA597D"/>
    <w:rsid w:val="00B153C2"/>
    <w:rsid w:val="00B65108"/>
    <w:rsid w:val="00BC6295"/>
    <w:rsid w:val="00C71B1A"/>
    <w:rsid w:val="00C8070B"/>
    <w:rsid w:val="00CF65DE"/>
    <w:rsid w:val="00D060FE"/>
    <w:rsid w:val="00D272E6"/>
    <w:rsid w:val="00DE3101"/>
    <w:rsid w:val="00E05DAC"/>
    <w:rsid w:val="00E450BE"/>
    <w:rsid w:val="00F101D4"/>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F4D9"/>
  <w15:chartTrackingRefBased/>
  <w15:docId w15:val="{291F7F8C-2ED3-4956-999F-010B7FAF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499"/>
    <w:rPr>
      <w:color w:val="0563C1" w:themeColor="hyperlink"/>
      <w:u w:val="single"/>
    </w:rPr>
  </w:style>
  <w:style w:type="character" w:styleId="UnresolvedMention">
    <w:name w:val="Unresolved Mention"/>
    <w:basedOn w:val="DefaultParagraphFont"/>
    <w:uiPriority w:val="99"/>
    <w:semiHidden/>
    <w:unhideWhenUsed/>
    <w:rsid w:val="005A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https://www.ams.usda.gov/mnreports/sj_ls710.txt" TargetMode="External"/><Relationship Id="rId4" Type="http://schemas.openxmlformats.org/officeDocument/2006/relationships/image" Target="media/image1.jpg"/><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2020</c:v>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A!$B$2097:$B$2114</c:f>
              <c:numCache>
                <c:formatCode>0.00</c:formatCode>
                <c:ptCount val="18"/>
                <c:pt idx="0">
                  <c:v>208.95500183105469</c:v>
                </c:pt>
                <c:pt idx="1">
                  <c:v>209.74199829101562</c:v>
                </c:pt>
                <c:pt idx="2">
                  <c:v>212.58199768066407</c:v>
                </c:pt>
                <c:pt idx="3">
                  <c:v>214.78400268554688</c:v>
                </c:pt>
                <c:pt idx="4">
                  <c:v>213.26200256347656</c:v>
                </c:pt>
                <c:pt idx="5">
                  <c:v>210.85199584960938</c:v>
                </c:pt>
                <c:pt idx="6">
                  <c:v>207.51799926757812</c:v>
                </c:pt>
                <c:pt idx="7">
                  <c:v>205.71000061035156</c:v>
                </c:pt>
                <c:pt idx="8">
                  <c:v>206.34400024414063</c:v>
                </c:pt>
                <c:pt idx="9">
                  <c:v>206.93800048828126</c:v>
                </c:pt>
                <c:pt idx="10">
                  <c:v>207.15399780273438</c:v>
                </c:pt>
                <c:pt idx="11">
                  <c:v>243.02999877929688</c:v>
                </c:pt>
                <c:pt idx="12">
                  <c:v>255.06800231933593</c:v>
                </c:pt>
                <c:pt idx="13">
                  <c:v>238.4739990234375</c:v>
                </c:pt>
                <c:pt idx="14">
                  <c:v>225.37399902343751</c:v>
                </c:pt>
                <c:pt idx="15">
                  <c:v>231.58399853515624</c:v>
                </c:pt>
                <c:pt idx="16">
                  <c:v>272.32799999999997</c:v>
                </c:pt>
                <c:pt idx="17">
                  <c:v>349.01</c:v>
                </c:pt>
              </c:numCache>
            </c:numRef>
          </c:val>
          <c:smooth val="0"/>
          <c:extLst>
            <c:ext xmlns:c16="http://schemas.microsoft.com/office/drawing/2014/chart" uri="{C3380CC4-5D6E-409C-BE32-E72D297353CC}">
              <c16:uniqueId val="{00000000-B3F4-46A9-B331-173D2307CC47}"/>
            </c:ext>
          </c:extLst>
        </c:ser>
        <c:ser>
          <c:idx val="1"/>
          <c:order val="1"/>
          <c:tx>
            <c:v>2019</c:v>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A!$B$2045:$B$2096</c:f>
              <c:numCache>
                <c:formatCode>0.00</c:formatCode>
                <c:ptCount val="52"/>
                <c:pt idx="0">
                  <c:v>215.74750137329102</c:v>
                </c:pt>
                <c:pt idx="1">
                  <c:v>213.70400085449219</c:v>
                </c:pt>
                <c:pt idx="2">
                  <c:v>212.36199951171875</c:v>
                </c:pt>
                <c:pt idx="3">
                  <c:v>216.71399841308593</c:v>
                </c:pt>
                <c:pt idx="4">
                  <c:v>216.6459991455078</c:v>
                </c:pt>
                <c:pt idx="5">
                  <c:v>216.86000366210936</c:v>
                </c:pt>
                <c:pt idx="6">
                  <c:v>216.68000488281251</c:v>
                </c:pt>
                <c:pt idx="7">
                  <c:v>217.72200317382811</c:v>
                </c:pt>
                <c:pt idx="8">
                  <c:v>219.98399963378907</c:v>
                </c:pt>
                <c:pt idx="9">
                  <c:v>224.93799743652343</c:v>
                </c:pt>
                <c:pt idx="10">
                  <c:v>227.70200195312501</c:v>
                </c:pt>
                <c:pt idx="11">
                  <c:v>228.94599914550781</c:v>
                </c:pt>
                <c:pt idx="12">
                  <c:v>228.19599914550781</c:v>
                </c:pt>
                <c:pt idx="13">
                  <c:v>226.47599792480469</c:v>
                </c:pt>
                <c:pt idx="14">
                  <c:v>228.7240020751953</c:v>
                </c:pt>
                <c:pt idx="15">
                  <c:v>232.4999969482422</c:v>
                </c:pt>
                <c:pt idx="16">
                  <c:v>233.49400024414064</c:v>
                </c:pt>
                <c:pt idx="17">
                  <c:v>230.27200012207032</c:v>
                </c:pt>
                <c:pt idx="18">
                  <c:v>223.49199829101562</c:v>
                </c:pt>
                <c:pt idx="19">
                  <c:v>220.22799987792968</c:v>
                </c:pt>
                <c:pt idx="20">
                  <c:v>220.64199829101562</c:v>
                </c:pt>
                <c:pt idx="21">
                  <c:v>223.40250015258789</c:v>
                </c:pt>
                <c:pt idx="22">
                  <c:v>222.57399902343749</c:v>
                </c:pt>
                <c:pt idx="23">
                  <c:v>222.10599975585939</c:v>
                </c:pt>
                <c:pt idx="24">
                  <c:v>220.89600219726563</c:v>
                </c:pt>
                <c:pt idx="25">
                  <c:v>219.55400085449219</c:v>
                </c:pt>
                <c:pt idx="26">
                  <c:v>219.27750015258789</c:v>
                </c:pt>
                <c:pt idx="27">
                  <c:v>214.63600158691406</c:v>
                </c:pt>
                <c:pt idx="28">
                  <c:v>213.10599975585939</c:v>
                </c:pt>
                <c:pt idx="29">
                  <c:v>213.08800354003907</c:v>
                </c:pt>
                <c:pt idx="30">
                  <c:v>213.95999755859376</c:v>
                </c:pt>
                <c:pt idx="31">
                  <c:v>216.04400024414062</c:v>
                </c:pt>
                <c:pt idx="32">
                  <c:v>230.42599792480468</c:v>
                </c:pt>
                <c:pt idx="33">
                  <c:v>239.87400207519531</c:v>
                </c:pt>
                <c:pt idx="34">
                  <c:v>234.34800109863281</c:v>
                </c:pt>
                <c:pt idx="35">
                  <c:v>229.5099983215332</c:v>
                </c:pt>
                <c:pt idx="36">
                  <c:v>222.61400146484374</c:v>
                </c:pt>
                <c:pt idx="37">
                  <c:v>218.75400085449218</c:v>
                </c:pt>
                <c:pt idx="38">
                  <c:v>214.51199951171876</c:v>
                </c:pt>
                <c:pt idx="39">
                  <c:v>212.58000183105469</c:v>
                </c:pt>
                <c:pt idx="40">
                  <c:v>214.11600341796876</c:v>
                </c:pt>
                <c:pt idx="41">
                  <c:v>217.93399963378906</c:v>
                </c:pt>
                <c:pt idx="42">
                  <c:v>223.07999877929689</c:v>
                </c:pt>
                <c:pt idx="43">
                  <c:v>230.7759979248047</c:v>
                </c:pt>
                <c:pt idx="44">
                  <c:v>237.08199768066407</c:v>
                </c:pt>
                <c:pt idx="45">
                  <c:v>240.65799865722656</c:v>
                </c:pt>
                <c:pt idx="46">
                  <c:v>236.75400085449218</c:v>
                </c:pt>
                <c:pt idx="47">
                  <c:v>232.36000061035156</c:v>
                </c:pt>
                <c:pt idx="48">
                  <c:v>227.9739990234375</c:v>
                </c:pt>
                <c:pt idx="49">
                  <c:v>219.14399719238281</c:v>
                </c:pt>
                <c:pt idx="50">
                  <c:v>211.6300018310547</c:v>
                </c:pt>
                <c:pt idx="51">
                  <c:v>210.22666931152344</c:v>
                </c:pt>
              </c:numCache>
            </c:numRef>
          </c:val>
          <c:smooth val="0"/>
          <c:extLst>
            <c:ext xmlns:c16="http://schemas.microsoft.com/office/drawing/2014/chart" uri="{C3380CC4-5D6E-409C-BE32-E72D297353CC}">
              <c16:uniqueId val="{00000001-B3F4-46A9-B331-173D2307CC47}"/>
            </c:ext>
          </c:extLst>
        </c:ser>
        <c:ser>
          <c:idx val="2"/>
          <c:order val="2"/>
          <c:tx>
            <c:v>2018</c:v>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A!$B$1993:$B$2044</c:f>
              <c:numCache>
                <c:formatCode>0.00</c:formatCode>
                <c:ptCount val="52"/>
                <c:pt idx="0">
                  <c:v>207.9849967956543</c:v>
                </c:pt>
                <c:pt idx="1">
                  <c:v>209.61000061035156</c:v>
                </c:pt>
                <c:pt idx="2">
                  <c:v>205.89200134277343</c:v>
                </c:pt>
                <c:pt idx="3">
                  <c:v>206.70200500488281</c:v>
                </c:pt>
                <c:pt idx="4">
                  <c:v>209.51200256347656</c:v>
                </c:pt>
                <c:pt idx="5">
                  <c:v>208.45599670410155</c:v>
                </c:pt>
                <c:pt idx="6">
                  <c:v>208.46600036621095</c:v>
                </c:pt>
                <c:pt idx="7">
                  <c:v>216.5259979248047</c:v>
                </c:pt>
                <c:pt idx="8">
                  <c:v>221.17800292968749</c:v>
                </c:pt>
                <c:pt idx="9">
                  <c:v>223.63400268554688</c:v>
                </c:pt>
                <c:pt idx="10">
                  <c:v>224.46399841308593</c:v>
                </c:pt>
                <c:pt idx="11">
                  <c:v>224.18000183105468</c:v>
                </c:pt>
                <c:pt idx="12">
                  <c:v>221.71799621582031</c:v>
                </c:pt>
                <c:pt idx="13">
                  <c:v>217.40999755859374</c:v>
                </c:pt>
                <c:pt idx="14">
                  <c:v>213.34199829101561</c:v>
                </c:pt>
                <c:pt idx="15">
                  <c:v>211.7759979248047</c:v>
                </c:pt>
                <c:pt idx="16">
                  <c:v>218.62200012207032</c:v>
                </c:pt>
                <c:pt idx="17">
                  <c:v>226.8019989013672</c:v>
                </c:pt>
                <c:pt idx="18">
                  <c:v>230.61400146484374</c:v>
                </c:pt>
                <c:pt idx="19">
                  <c:v>231.93599853515624</c:v>
                </c:pt>
                <c:pt idx="20">
                  <c:v>229.33600158691405</c:v>
                </c:pt>
                <c:pt idx="21">
                  <c:v>227.99249649047852</c:v>
                </c:pt>
                <c:pt idx="22">
                  <c:v>226.94800415039063</c:v>
                </c:pt>
                <c:pt idx="23">
                  <c:v>223.52399902343751</c:v>
                </c:pt>
                <c:pt idx="24">
                  <c:v>218.65400085449218</c:v>
                </c:pt>
                <c:pt idx="25">
                  <c:v>215.00400390625001</c:v>
                </c:pt>
                <c:pt idx="26">
                  <c:v>209.64999771118164</c:v>
                </c:pt>
                <c:pt idx="27">
                  <c:v>206.48000183105469</c:v>
                </c:pt>
                <c:pt idx="28">
                  <c:v>204.32200012207031</c:v>
                </c:pt>
                <c:pt idx="29">
                  <c:v>204.83200073242188</c:v>
                </c:pt>
                <c:pt idx="30">
                  <c:v>204.25800170898438</c:v>
                </c:pt>
                <c:pt idx="31">
                  <c:v>205.91399841308595</c:v>
                </c:pt>
                <c:pt idx="32">
                  <c:v>209.7</c:v>
                </c:pt>
                <c:pt idx="33">
                  <c:v>213.85599975585939</c:v>
                </c:pt>
                <c:pt idx="34">
                  <c:v>212.0259979248047</c:v>
                </c:pt>
                <c:pt idx="35">
                  <c:v>209.13249969482422</c:v>
                </c:pt>
                <c:pt idx="36">
                  <c:v>205.09400024414063</c:v>
                </c:pt>
                <c:pt idx="37">
                  <c:v>204.97999877929686</c:v>
                </c:pt>
                <c:pt idx="38">
                  <c:v>205.06600341796874</c:v>
                </c:pt>
                <c:pt idx="39">
                  <c:v>204.3</c:v>
                </c:pt>
                <c:pt idx="40">
                  <c:v>202.67800292968749</c:v>
                </c:pt>
                <c:pt idx="41">
                  <c:v>205.74400024414064</c:v>
                </c:pt>
                <c:pt idx="42">
                  <c:v>211.50400085449218</c:v>
                </c:pt>
                <c:pt idx="43">
                  <c:v>216.66799926757812</c:v>
                </c:pt>
                <c:pt idx="44">
                  <c:v>217.36799926757811</c:v>
                </c:pt>
                <c:pt idx="45">
                  <c:v>213.85000305175782</c:v>
                </c:pt>
                <c:pt idx="46">
                  <c:v>213.75500106811523</c:v>
                </c:pt>
                <c:pt idx="47">
                  <c:v>213.38999938964844</c:v>
                </c:pt>
                <c:pt idx="48">
                  <c:v>213.43199768066407</c:v>
                </c:pt>
                <c:pt idx="49">
                  <c:v>213.11200256347655</c:v>
                </c:pt>
                <c:pt idx="50">
                  <c:v>212.71399841308593</c:v>
                </c:pt>
                <c:pt idx="51">
                  <c:v>215.13333638509116</c:v>
                </c:pt>
              </c:numCache>
            </c:numRef>
          </c:val>
          <c:smooth val="0"/>
          <c:extLst>
            <c:ext xmlns:c16="http://schemas.microsoft.com/office/drawing/2014/chart" uri="{C3380CC4-5D6E-409C-BE32-E72D297353CC}">
              <c16:uniqueId val="{00000002-B3F4-46A9-B331-173D2307CC47}"/>
            </c:ext>
          </c:extLst>
        </c:ser>
        <c:dLbls>
          <c:showLegendKey val="0"/>
          <c:showVal val="0"/>
          <c:showCatName val="0"/>
          <c:showSerName val="0"/>
          <c:showPercent val="0"/>
          <c:showBubbleSize val="0"/>
        </c:dLbls>
        <c:marker val="1"/>
        <c:smooth val="0"/>
        <c:axId val="388933232"/>
        <c:axId val="518871040"/>
      </c:lineChart>
      <c:catAx>
        <c:axId val="388933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Week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18871040"/>
        <c:crosses val="autoZero"/>
        <c:auto val="1"/>
        <c:lblAlgn val="ctr"/>
        <c:lblOffset val="100"/>
        <c:tickLblSkip val="3"/>
        <c:noMultiLvlLbl val="0"/>
      </c:catAx>
      <c:valAx>
        <c:axId val="518871040"/>
        <c:scaling>
          <c:orientation val="minMax"/>
          <c:min val="1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 cwt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88933232"/>
        <c:crosses val="autoZero"/>
        <c:crossBetween val="between"/>
      </c:valAx>
      <c:spPr>
        <a:noFill/>
        <a:ln>
          <a:noFill/>
        </a:ln>
        <a:effectLst/>
      </c:spPr>
    </c:plotArea>
    <c:legend>
      <c:legendPos val="b"/>
      <c:layout>
        <c:manualLayout>
          <c:xMode val="edge"/>
          <c:yMode val="edge"/>
          <c:x val="0.25736981507448553"/>
          <c:y val="0.87407626987803"/>
          <c:w val="0.6161581514639437"/>
          <c:h val="9.4551181102362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23024682073947"/>
          <c:y val="5.3244116578822442E-2"/>
          <c:w val="0.83907319415871995"/>
          <c:h val="0.64612989333780091"/>
        </c:manualLayout>
      </c:layout>
      <c:lineChart>
        <c:grouping val="standard"/>
        <c:varyColors val="0"/>
        <c:ser>
          <c:idx val="0"/>
          <c:order val="0"/>
          <c:tx>
            <c:strRef>
              <c:f>B!$L$315</c:f>
              <c:strCache>
                <c:ptCount val="1"/>
                <c:pt idx="0">
                  <c:v>2020</c:v>
                </c:pt>
              </c:strCache>
            </c:strRef>
          </c:tx>
          <c:val>
            <c:numRef>
              <c:f>B!$C$374:$C$425</c:f>
              <c:numCache>
                <c:formatCode>0.00_)</c:formatCode>
                <c:ptCount val="52"/>
                <c:pt idx="0">
                  <c:v>73.263999938964844</c:v>
                </c:pt>
                <c:pt idx="1">
                  <c:v>74.819999694824219</c:v>
                </c:pt>
                <c:pt idx="2">
                  <c:v>78.051998901367185</c:v>
                </c:pt>
                <c:pt idx="3">
                  <c:v>73</c:v>
                </c:pt>
                <c:pt idx="4">
                  <c:v>66.685998535156244</c:v>
                </c:pt>
                <c:pt idx="5">
                  <c:v>63.695999145507812</c:v>
                </c:pt>
                <c:pt idx="6">
                  <c:v>64.264001464843744</c:v>
                </c:pt>
                <c:pt idx="7">
                  <c:v>65.038000488281256</c:v>
                </c:pt>
                <c:pt idx="8">
                  <c:v>66.448001098632815</c:v>
                </c:pt>
                <c:pt idx="9">
                  <c:v>68.751998901367188</c:v>
                </c:pt>
                <c:pt idx="10">
                  <c:v>76.333999633789062</c:v>
                </c:pt>
                <c:pt idx="11">
                  <c:v>79.198001098632815</c:v>
                </c:pt>
                <c:pt idx="12">
                  <c:v>62.875999450683594</c:v>
                </c:pt>
                <c:pt idx="13">
                  <c:v>53.549999237060547</c:v>
                </c:pt>
                <c:pt idx="14">
                  <c:v>54.805999542236329</c:v>
                </c:pt>
                <c:pt idx="15">
                  <c:v>72.692000000000007</c:v>
                </c:pt>
                <c:pt idx="16">
                  <c:v>94.051999999999992</c:v>
                </c:pt>
                <c:pt idx="22" formatCode="General">
                  <c:v>1.3263511405166473</c:v>
                </c:pt>
                <c:pt idx="23" formatCode="General">
                  <c:v>1.7563398943040334</c:v>
                </c:pt>
              </c:numCache>
            </c:numRef>
          </c:val>
          <c:smooth val="0"/>
          <c:extLst>
            <c:ext xmlns:c16="http://schemas.microsoft.com/office/drawing/2014/chart" uri="{C3380CC4-5D6E-409C-BE32-E72D297353CC}">
              <c16:uniqueId val="{00000000-6EB4-4C32-8EE5-DA4D542B7E96}"/>
            </c:ext>
          </c:extLst>
        </c:ser>
        <c:ser>
          <c:idx val="2"/>
          <c:order val="1"/>
          <c:tx>
            <c:strRef>
              <c:f>B!$L$314</c:f>
              <c:strCache>
                <c:ptCount val="1"/>
                <c:pt idx="0">
                  <c:v>2019</c:v>
                </c:pt>
              </c:strCache>
            </c:strRef>
          </c:tx>
          <c:spPr>
            <a:ln>
              <a:solidFill>
                <a:schemeClr val="accent6"/>
              </a:solidFill>
            </a:ln>
          </c:spPr>
          <c:marker>
            <c:symbol val="triangle"/>
            <c:size val="5"/>
            <c:spPr>
              <a:solidFill>
                <a:schemeClr val="accent6"/>
              </a:solidFill>
              <a:ln>
                <a:solidFill>
                  <a:schemeClr val="accent6"/>
                </a:solidFill>
              </a:ln>
            </c:spPr>
          </c:marker>
          <c:val>
            <c:numRef>
              <c:f>B!$C$321:$C$373</c:f>
              <c:numCache>
                <c:formatCode>General</c:formatCode>
                <c:ptCount val="53"/>
                <c:pt idx="0">
                  <c:v>69.959999999999994</c:v>
                </c:pt>
                <c:pt idx="1">
                  <c:v>70.36</c:v>
                </c:pt>
                <c:pt idx="2">
                  <c:v>70.25</c:v>
                </c:pt>
                <c:pt idx="3">
                  <c:v>68.819999999999993</c:v>
                </c:pt>
                <c:pt idx="4">
                  <c:v>67.84</c:v>
                </c:pt>
                <c:pt idx="5">
                  <c:v>65.98</c:v>
                </c:pt>
                <c:pt idx="6">
                  <c:v>64.069999999999993</c:v>
                </c:pt>
                <c:pt idx="7">
                  <c:v>60.38</c:v>
                </c:pt>
                <c:pt idx="8">
                  <c:v>60.77</c:v>
                </c:pt>
                <c:pt idx="9">
                  <c:v>63.57</c:v>
                </c:pt>
                <c:pt idx="10">
                  <c:v>67.92</c:v>
                </c:pt>
                <c:pt idx="11">
                  <c:v>74.92</c:v>
                </c:pt>
                <c:pt idx="12">
                  <c:v>81.09</c:v>
                </c:pt>
                <c:pt idx="13">
                  <c:v>81.64</c:v>
                </c:pt>
                <c:pt idx="14">
                  <c:v>84.1</c:v>
                </c:pt>
                <c:pt idx="15">
                  <c:v>87.13</c:v>
                </c:pt>
                <c:pt idx="16">
                  <c:v>86.35</c:v>
                </c:pt>
                <c:pt idx="17">
                  <c:v>83.03</c:v>
                </c:pt>
                <c:pt idx="18">
                  <c:v>85.3</c:v>
                </c:pt>
                <c:pt idx="19">
                  <c:v>87.02</c:v>
                </c:pt>
                <c:pt idx="20">
                  <c:v>84.86</c:v>
                </c:pt>
                <c:pt idx="21">
                  <c:v>83.74</c:v>
                </c:pt>
                <c:pt idx="22">
                  <c:v>83.59</c:v>
                </c:pt>
                <c:pt idx="23">
                  <c:v>83.31</c:v>
                </c:pt>
                <c:pt idx="24">
                  <c:v>79.2</c:v>
                </c:pt>
                <c:pt idx="25">
                  <c:v>74.98</c:v>
                </c:pt>
                <c:pt idx="26">
                  <c:v>72.790000000000006</c:v>
                </c:pt>
                <c:pt idx="27">
                  <c:v>72.209999999999994</c:v>
                </c:pt>
                <c:pt idx="28">
                  <c:v>76.06</c:v>
                </c:pt>
                <c:pt idx="29">
                  <c:v>82.18</c:v>
                </c:pt>
                <c:pt idx="30">
                  <c:v>86.62</c:v>
                </c:pt>
                <c:pt idx="31">
                  <c:v>88.88</c:v>
                </c:pt>
                <c:pt idx="32">
                  <c:v>88.56</c:v>
                </c:pt>
                <c:pt idx="33">
                  <c:v>81.94</c:v>
                </c:pt>
                <c:pt idx="34">
                  <c:v>73.790000000000006</c:v>
                </c:pt>
                <c:pt idx="35">
                  <c:v>73.19</c:v>
                </c:pt>
                <c:pt idx="36">
                  <c:v>71.010000000000005</c:v>
                </c:pt>
                <c:pt idx="37">
                  <c:v>68.63</c:v>
                </c:pt>
                <c:pt idx="38">
                  <c:v>71.12</c:v>
                </c:pt>
                <c:pt idx="39">
                  <c:v>74.73</c:v>
                </c:pt>
                <c:pt idx="40">
                  <c:v>77.13</c:v>
                </c:pt>
                <c:pt idx="41">
                  <c:v>77.41</c:v>
                </c:pt>
                <c:pt idx="42">
                  <c:v>76.150000000000006</c:v>
                </c:pt>
                <c:pt idx="43">
                  <c:v>75.98</c:v>
                </c:pt>
                <c:pt idx="44">
                  <c:v>80.5</c:v>
                </c:pt>
                <c:pt idx="45">
                  <c:v>87.41</c:v>
                </c:pt>
                <c:pt idx="46">
                  <c:v>84.99</c:v>
                </c:pt>
                <c:pt idx="47">
                  <c:v>82.03</c:v>
                </c:pt>
                <c:pt idx="48">
                  <c:v>81.58</c:v>
                </c:pt>
                <c:pt idx="49" formatCode="0.00_)">
                  <c:v>82.366001892089841</c:v>
                </c:pt>
                <c:pt idx="50" formatCode="0.00_)">
                  <c:v>77.781999206542963</c:v>
                </c:pt>
                <c:pt idx="51" formatCode="0.00_)">
                  <c:v>75.88333384195964</c:v>
                </c:pt>
                <c:pt idx="52" formatCode="0.00_)">
                  <c:v>73.959999084472656</c:v>
                </c:pt>
              </c:numCache>
            </c:numRef>
          </c:val>
          <c:smooth val="0"/>
          <c:extLst>
            <c:ext xmlns:c16="http://schemas.microsoft.com/office/drawing/2014/chart" uri="{C3380CC4-5D6E-409C-BE32-E72D297353CC}">
              <c16:uniqueId val="{00000001-6EB4-4C32-8EE5-DA4D542B7E96}"/>
            </c:ext>
          </c:extLst>
        </c:ser>
        <c:ser>
          <c:idx val="1"/>
          <c:order val="2"/>
          <c:tx>
            <c:strRef>
              <c:f>B!$L$313</c:f>
              <c:strCache>
                <c:ptCount val="1"/>
                <c:pt idx="0">
                  <c:v>2018</c:v>
                </c:pt>
              </c:strCache>
            </c:strRef>
          </c:tx>
          <c:spPr>
            <a:ln>
              <a:solidFill>
                <a:schemeClr val="bg1">
                  <a:lumMod val="50000"/>
                </a:schemeClr>
              </a:solidFill>
            </a:ln>
          </c:spPr>
          <c:marker>
            <c:spPr>
              <a:solidFill>
                <a:schemeClr val="bg1">
                  <a:lumMod val="50000"/>
                </a:schemeClr>
              </a:solidFill>
              <a:ln>
                <a:solidFill>
                  <a:schemeClr val="bg1">
                    <a:lumMod val="50000"/>
                  </a:schemeClr>
                </a:solidFill>
              </a:ln>
            </c:spPr>
          </c:marker>
          <c:val>
            <c:numRef>
              <c:f>B!$C$269:$C$320</c:f>
              <c:numCache>
                <c:formatCode>General</c:formatCode>
                <c:ptCount val="52"/>
                <c:pt idx="0">
                  <c:v>78.72</c:v>
                </c:pt>
                <c:pt idx="1">
                  <c:v>79.25</c:v>
                </c:pt>
                <c:pt idx="2">
                  <c:v>80.97</c:v>
                </c:pt>
                <c:pt idx="3">
                  <c:v>82.43</c:v>
                </c:pt>
                <c:pt idx="4">
                  <c:v>82.31</c:v>
                </c:pt>
                <c:pt idx="5">
                  <c:v>77.41</c:v>
                </c:pt>
                <c:pt idx="6">
                  <c:v>77.209999999999994</c:v>
                </c:pt>
                <c:pt idx="7">
                  <c:v>79</c:v>
                </c:pt>
                <c:pt idx="8">
                  <c:v>78.55</c:v>
                </c:pt>
                <c:pt idx="9">
                  <c:v>75.73</c:v>
                </c:pt>
                <c:pt idx="10">
                  <c:v>73.430000000000007</c:v>
                </c:pt>
                <c:pt idx="11">
                  <c:v>71.400000000000006</c:v>
                </c:pt>
                <c:pt idx="12">
                  <c:v>70.290000000000006</c:v>
                </c:pt>
                <c:pt idx="13">
                  <c:v>69.599999999999994</c:v>
                </c:pt>
                <c:pt idx="14">
                  <c:v>66.290000000000006</c:v>
                </c:pt>
                <c:pt idx="15">
                  <c:v>68.23</c:v>
                </c:pt>
                <c:pt idx="16">
                  <c:v>68.180000000000007</c:v>
                </c:pt>
                <c:pt idx="17">
                  <c:v>69.36</c:v>
                </c:pt>
                <c:pt idx="18">
                  <c:v>72.19</c:v>
                </c:pt>
                <c:pt idx="19">
                  <c:v>74.319999999999993</c:v>
                </c:pt>
                <c:pt idx="20">
                  <c:v>75.349999999999994</c:v>
                </c:pt>
                <c:pt idx="21">
                  <c:v>76.73</c:v>
                </c:pt>
                <c:pt idx="22">
                  <c:v>78.489999999999995</c:v>
                </c:pt>
                <c:pt idx="23">
                  <c:v>81.98</c:v>
                </c:pt>
                <c:pt idx="24">
                  <c:v>84.94</c:v>
                </c:pt>
                <c:pt idx="25">
                  <c:v>87.3</c:v>
                </c:pt>
                <c:pt idx="26">
                  <c:v>86.07</c:v>
                </c:pt>
                <c:pt idx="27">
                  <c:v>84.08</c:v>
                </c:pt>
                <c:pt idx="28">
                  <c:v>82.69</c:v>
                </c:pt>
                <c:pt idx="29">
                  <c:v>77.959999999999994</c:v>
                </c:pt>
                <c:pt idx="30">
                  <c:v>73.48</c:v>
                </c:pt>
                <c:pt idx="31">
                  <c:v>71.67</c:v>
                </c:pt>
                <c:pt idx="32">
                  <c:v>68.73</c:v>
                </c:pt>
                <c:pt idx="33">
                  <c:v>65.66</c:v>
                </c:pt>
                <c:pt idx="34">
                  <c:v>65.709999999999994</c:v>
                </c:pt>
                <c:pt idx="35">
                  <c:v>68.22</c:v>
                </c:pt>
                <c:pt idx="36">
                  <c:v>70.709999999999994</c:v>
                </c:pt>
                <c:pt idx="37">
                  <c:v>78.02</c:v>
                </c:pt>
                <c:pt idx="38">
                  <c:v>80.39</c:v>
                </c:pt>
                <c:pt idx="39">
                  <c:v>80.27</c:v>
                </c:pt>
                <c:pt idx="40">
                  <c:v>79.17</c:v>
                </c:pt>
                <c:pt idx="41">
                  <c:v>79.489999999999995</c:v>
                </c:pt>
                <c:pt idx="42">
                  <c:v>77.510000000000005</c:v>
                </c:pt>
                <c:pt idx="43">
                  <c:v>76.34</c:v>
                </c:pt>
                <c:pt idx="44">
                  <c:v>72.709999999999994</c:v>
                </c:pt>
                <c:pt idx="45">
                  <c:v>69.48</c:v>
                </c:pt>
                <c:pt idx="46">
                  <c:v>67.11</c:v>
                </c:pt>
                <c:pt idx="47">
                  <c:v>68.36</c:v>
                </c:pt>
                <c:pt idx="48">
                  <c:v>71.8</c:v>
                </c:pt>
                <c:pt idx="49">
                  <c:v>72.680000000000007</c:v>
                </c:pt>
                <c:pt idx="50">
                  <c:v>71.13</c:v>
                </c:pt>
                <c:pt idx="51">
                  <c:v>70.510000000000005</c:v>
                </c:pt>
              </c:numCache>
            </c:numRef>
          </c:val>
          <c:smooth val="0"/>
          <c:extLst>
            <c:ext xmlns:c16="http://schemas.microsoft.com/office/drawing/2014/chart" uri="{C3380CC4-5D6E-409C-BE32-E72D297353CC}">
              <c16:uniqueId val="{00000002-6EB4-4C32-8EE5-DA4D542B7E96}"/>
            </c:ext>
          </c:extLst>
        </c:ser>
        <c:dLbls>
          <c:showLegendKey val="0"/>
          <c:showVal val="0"/>
          <c:showCatName val="0"/>
          <c:showSerName val="0"/>
          <c:showPercent val="0"/>
          <c:showBubbleSize val="0"/>
        </c:dLbls>
        <c:marker val="1"/>
        <c:smooth val="0"/>
        <c:axId val="325154416"/>
        <c:axId val="325154976"/>
      </c:lineChart>
      <c:catAx>
        <c:axId val="325154416"/>
        <c:scaling>
          <c:orientation val="minMax"/>
        </c:scaling>
        <c:delete val="0"/>
        <c:axPos val="b"/>
        <c:title>
          <c:tx>
            <c:rich>
              <a:bodyPr/>
              <a:lstStyle/>
              <a:p>
                <a:pPr>
                  <a:defRPr/>
                </a:pPr>
                <a:r>
                  <a:rPr lang="en-US"/>
                  <a:t>Week</a:t>
                </a:r>
              </a:p>
            </c:rich>
          </c:tx>
          <c:overlay val="0"/>
        </c:title>
        <c:numFmt formatCode="General" sourceLinked="1"/>
        <c:majorTickMark val="out"/>
        <c:minorTickMark val="none"/>
        <c:tickLblPos val="nextTo"/>
        <c:txPr>
          <a:bodyPr rot="0" vert="horz"/>
          <a:lstStyle/>
          <a:p>
            <a:pPr>
              <a:defRPr/>
            </a:pPr>
            <a:endParaRPr lang="en-US"/>
          </a:p>
        </c:txPr>
        <c:crossAx val="325154976"/>
        <c:crosses val="autoZero"/>
        <c:auto val="1"/>
        <c:lblAlgn val="ctr"/>
        <c:lblOffset val="100"/>
        <c:tickLblSkip val="3"/>
        <c:noMultiLvlLbl val="0"/>
      </c:catAx>
      <c:valAx>
        <c:axId val="325154976"/>
        <c:scaling>
          <c:orientation val="minMax"/>
          <c:min val="50"/>
        </c:scaling>
        <c:delete val="0"/>
        <c:axPos val="l"/>
        <c:majorGridlines/>
        <c:title>
          <c:tx>
            <c:rich>
              <a:bodyPr/>
              <a:lstStyle/>
              <a:p>
                <a:pPr>
                  <a:defRPr/>
                </a:pPr>
                <a:r>
                  <a:rPr lang="en-US"/>
                  <a:t>$/cwt</a:t>
                </a:r>
              </a:p>
            </c:rich>
          </c:tx>
          <c:overlay val="0"/>
        </c:title>
        <c:numFmt formatCode="#,##0" sourceLinked="0"/>
        <c:majorTickMark val="out"/>
        <c:minorTickMark val="none"/>
        <c:tickLblPos val="nextTo"/>
        <c:txPr>
          <a:bodyPr rot="0" vert="horz"/>
          <a:lstStyle/>
          <a:p>
            <a:pPr>
              <a:defRPr/>
            </a:pPr>
            <a:endParaRPr lang="en-US"/>
          </a:p>
        </c:txPr>
        <c:crossAx val="325154416"/>
        <c:crosses val="autoZero"/>
        <c:crossBetween val="between"/>
      </c:valAx>
    </c:plotArea>
    <c:legend>
      <c:legendPos val="b"/>
      <c:layout>
        <c:manualLayout>
          <c:xMode val="edge"/>
          <c:yMode val="edge"/>
          <c:x val="0.20824792313804813"/>
          <c:y val="0.91004509051753146"/>
          <c:w val="0.63354443412357897"/>
          <c:h val="6.9503764253383893E-2"/>
        </c:manualLayout>
      </c:layout>
      <c:overlay val="0"/>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 Anderson</dc:creator>
  <cp:keywords/>
  <dc:description/>
  <cp:lastModifiedBy>Mary Hightower</cp:lastModifiedBy>
  <cp:revision>2</cp:revision>
  <dcterms:created xsi:type="dcterms:W3CDTF">2020-05-05T14:54:00Z</dcterms:created>
  <dcterms:modified xsi:type="dcterms:W3CDTF">2020-05-05T14:54:00Z</dcterms:modified>
</cp:coreProperties>
</file>