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A02C" w14:textId="77777777" w:rsidR="002F3C19" w:rsidRPr="00D616F4" w:rsidRDefault="002F3C19" w:rsidP="002F3C19">
      <w:pPr>
        <w:shd w:val="clear" w:color="auto" w:fill="FFFFFF"/>
        <w:spacing w:after="0" w:line="240" w:lineRule="auto"/>
        <w:jc w:val="center"/>
        <w:rPr>
          <w:rFonts w:ascii="Cambria" w:eastAsia="Times New Roman" w:hAnsi="Cambria" w:cs="Times New Roman"/>
          <w:b/>
          <w:sz w:val="28"/>
          <w:szCs w:val="28"/>
        </w:rPr>
      </w:pPr>
      <w:r w:rsidRPr="00D616F4">
        <w:rPr>
          <w:rFonts w:ascii="Cambria" w:eastAsia="Times New Roman" w:hAnsi="Cambria" w:cs="Times New Roman"/>
          <w:b/>
          <w:sz w:val="28"/>
          <w:szCs w:val="28"/>
        </w:rPr>
        <w:t>COVID-19 Impacts on Arkansas’ Agricultural and Rural Economies</w:t>
      </w:r>
    </w:p>
    <w:p w14:paraId="02B190A1" w14:textId="77777777" w:rsidR="002F3C19" w:rsidRPr="00D616F4" w:rsidRDefault="002F3C19" w:rsidP="002F3C19">
      <w:pPr>
        <w:shd w:val="clear" w:color="auto" w:fill="FFFFFF"/>
        <w:spacing w:after="0" w:line="240" w:lineRule="auto"/>
        <w:jc w:val="center"/>
        <w:rPr>
          <w:rFonts w:ascii="Cambria" w:eastAsia="Times New Roman" w:hAnsi="Cambria" w:cs="Times New Roman"/>
          <w:b/>
        </w:rPr>
      </w:pPr>
    </w:p>
    <w:p w14:paraId="71061F64" w14:textId="77777777" w:rsidR="00FF0C3E" w:rsidRPr="00D616F4" w:rsidRDefault="00FF0C3E" w:rsidP="002F3C19">
      <w:pPr>
        <w:shd w:val="clear" w:color="auto" w:fill="FFFFFF"/>
        <w:spacing w:after="0" w:line="240" w:lineRule="auto"/>
        <w:jc w:val="center"/>
        <w:rPr>
          <w:rFonts w:ascii="Cambria" w:eastAsia="Times New Roman" w:hAnsi="Cambria" w:cs="Times New Roman"/>
          <w:b/>
        </w:rPr>
      </w:pPr>
    </w:p>
    <w:p w14:paraId="12EF344C" w14:textId="77777777" w:rsidR="00104D2F" w:rsidRPr="00D616F4" w:rsidRDefault="002F3C19" w:rsidP="002F3C19">
      <w:pPr>
        <w:shd w:val="clear" w:color="auto" w:fill="FFFFFF"/>
        <w:spacing w:after="0" w:line="240" w:lineRule="auto"/>
        <w:jc w:val="center"/>
        <w:rPr>
          <w:rFonts w:ascii="Cambria" w:eastAsia="Times New Roman" w:hAnsi="Cambria" w:cs="Times New Roman"/>
          <w:b/>
        </w:rPr>
      </w:pPr>
      <w:r w:rsidRPr="00D616F4">
        <w:rPr>
          <w:rFonts w:ascii="Cambria" w:eastAsia="Times New Roman" w:hAnsi="Cambria" w:cs="Times New Roman"/>
          <w:b/>
        </w:rPr>
        <w:t xml:space="preserve">UPDATE: </w:t>
      </w:r>
    </w:p>
    <w:p w14:paraId="7DB6007A" w14:textId="6C93B322" w:rsidR="002F3C19" w:rsidRPr="00D616F4" w:rsidRDefault="00B764A5" w:rsidP="002F3C19">
      <w:pPr>
        <w:shd w:val="clear" w:color="auto" w:fill="FFFFFF"/>
        <w:spacing w:after="0" w:line="240" w:lineRule="auto"/>
        <w:jc w:val="center"/>
        <w:rPr>
          <w:rFonts w:ascii="Cambria" w:eastAsia="Times New Roman" w:hAnsi="Cambria" w:cs="Times New Roman"/>
          <w:b/>
          <w:sz w:val="48"/>
          <w:szCs w:val="48"/>
        </w:rPr>
      </w:pPr>
      <w:r w:rsidRPr="00D616F4">
        <w:rPr>
          <w:rFonts w:ascii="Cambria" w:eastAsia="Times New Roman" w:hAnsi="Cambria" w:cs="Times New Roman"/>
          <w:b/>
          <w:sz w:val="48"/>
          <w:szCs w:val="48"/>
        </w:rPr>
        <w:t>Livestock Market Update</w:t>
      </w:r>
      <w:r w:rsidR="00D616F4">
        <w:rPr>
          <w:rFonts w:ascii="Cambria" w:eastAsia="Times New Roman" w:hAnsi="Cambria" w:cs="Times New Roman"/>
          <w:b/>
          <w:sz w:val="48"/>
          <w:szCs w:val="48"/>
        </w:rPr>
        <w:t>:</w:t>
      </w:r>
    </w:p>
    <w:p w14:paraId="092F1C45" w14:textId="77777777" w:rsidR="00D616F4" w:rsidRDefault="00104D2F" w:rsidP="00D616F4">
      <w:pPr>
        <w:shd w:val="clear" w:color="auto" w:fill="FFFFFF"/>
        <w:spacing w:after="0" w:line="240" w:lineRule="auto"/>
        <w:jc w:val="center"/>
        <w:rPr>
          <w:rFonts w:ascii="Cambria" w:eastAsia="Times New Roman" w:hAnsi="Cambria" w:cs="Times New Roman"/>
          <w:b/>
          <w:sz w:val="48"/>
          <w:szCs w:val="48"/>
        </w:rPr>
      </w:pPr>
      <w:r w:rsidRPr="00D616F4">
        <w:rPr>
          <w:rFonts w:ascii="Cambria" w:eastAsia="Times New Roman" w:hAnsi="Cambria" w:cs="Times New Roman"/>
          <w:b/>
          <w:sz w:val="48"/>
          <w:szCs w:val="48"/>
        </w:rPr>
        <w:t>Cattle on Feed</w:t>
      </w:r>
      <w:r w:rsidR="00D616F4">
        <w:rPr>
          <w:rFonts w:ascii="Cambria" w:eastAsia="Times New Roman" w:hAnsi="Cambria" w:cs="Times New Roman"/>
          <w:b/>
          <w:sz w:val="48"/>
          <w:szCs w:val="48"/>
        </w:rPr>
        <w:t xml:space="preserve"> </w:t>
      </w:r>
      <w:r w:rsidRPr="00D616F4">
        <w:rPr>
          <w:rFonts w:ascii="Cambria" w:eastAsia="Times New Roman" w:hAnsi="Cambria" w:cs="Times New Roman"/>
          <w:b/>
          <w:sz w:val="48"/>
          <w:szCs w:val="48"/>
        </w:rPr>
        <w:t xml:space="preserve">Coronavirus </w:t>
      </w:r>
    </w:p>
    <w:p w14:paraId="2B4DB76D" w14:textId="0B5F92E9" w:rsidR="00104D2F" w:rsidRPr="00D616F4" w:rsidRDefault="00104D2F" w:rsidP="00D616F4">
      <w:pPr>
        <w:shd w:val="clear" w:color="auto" w:fill="FFFFFF"/>
        <w:spacing w:after="0" w:line="240" w:lineRule="auto"/>
        <w:jc w:val="center"/>
        <w:rPr>
          <w:rFonts w:ascii="Cambria" w:eastAsia="Times New Roman" w:hAnsi="Cambria" w:cs="Times New Roman"/>
          <w:b/>
          <w:sz w:val="48"/>
          <w:szCs w:val="48"/>
        </w:rPr>
      </w:pPr>
      <w:r w:rsidRPr="00D616F4">
        <w:rPr>
          <w:rFonts w:ascii="Cambria" w:eastAsia="Times New Roman" w:hAnsi="Cambria" w:cs="Times New Roman"/>
          <w:b/>
          <w:sz w:val="48"/>
          <w:szCs w:val="48"/>
        </w:rPr>
        <w:t>Food Assistance Program for Livestock</w:t>
      </w:r>
    </w:p>
    <w:p w14:paraId="5F82A15E" w14:textId="77777777" w:rsidR="002F3C19" w:rsidRPr="00D616F4" w:rsidRDefault="002F3C19" w:rsidP="002F3C19">
      <w:pPr>
        <w:shd w:val="clear" w:color="auto" w:fill="FFFFFF"/>
        <w:spacing w:after="0" w:line="240" w:lineRule="auto"/>
        <w:rPr>
          <w:rFonts w:ascii="Cambria" w:eastAsia="Times New Roman" w:hAnsi="Cambria" w:cs="Times New Roman"/>
          <w:b/>
        </w:rPr>
      </w:pPr>
    </w:p>
    <w:p w14:paraId="31758C02" w14:textId="77777777" w:rsidR="002F3C19" w:rsidRPr="00D616F4" w:rsidRDefault="002F3C19" w:rsidP="002F3C19">
      <w:pPr>
        <w:shd w:val="clear" w:color="auto" w:fill="FFFFFF"/>
        <w:spacing w:after="0" w:line="240" w:lineRule="auto"/>
        <w:rPr>
          <w:rFonts w:ascii="Cambria" w:eastAsia="Times New Roman" w:hAnsi="Cambria" w:cs="Times New Roman"/>
          <w:b/>
        </w:rPr>
      </w:pPr>
    </w:p>
    <w:p w14:paraId="0589020C" w14:textId="77777777" w:rsidR="002F3C19" w:rsidRPr="00D616F4" w:rsidRDefault="002F3C19" w:rsidP="002F3C19">
      <w:pPr>
        <w:shd w:val="clear" w:color="auto" w:fill="FFFFFF"/>
        <w:spacing w:after="0" w:line="240" w:lineRule="auto"/>
        <w:jc w:val="center"/>
        <w:rPr>
          <w:rFonts w:ascii="Cambria" w:eastAsia="Times New Roman" w:hAnsi="Cambria" w:cs="Times New Roman"/>
          <w:b/>
        </w:rPr>
      </w:pPr>
      <w:r w:rsidRPr="00D616F4">
        <w:rPr>
          <w:rFonts w:ascii="Cambria" w:eastAsia="Times New Roman" w:hAnsi="Cambria" w:cs="Times New Roman"/>
          <w:b/>
        </w:rPr>
        <w:t>Prepared by:</w:t>
      </w:r>
    </w:p>
    <w:p w14:paraId="74202740" w14:textId="77777777" w:rsidR="002F3C19" w:rsidRPr="00D616F4" w:rsidRDefault="002F3C19" w:rsidP="002F3C19">
      <w:pPr>
        <w:shd w:val="clear" w:color="auto" w:fill="FFFFFF"/>
        <w:spacing w:after="0" w:line="240" w:lineRule="auto"/>
        <w:jc w:val="center"/>
        <w:rPr>
          <w:rFonts w:ascii="Cambria" w:eastAsia="Times New Roman" w:hAnsi="Cambria" w:cs="Times New Roman"/>
          <w:b/>
        </w:rPr>
      </w:pPr>
    </w:p>
    <w:p w14:paraId="108EB87D" w14:textId="77777777" w:rsidR="002F3C19" w:rsidRPr="00D616F4" w:rsidRDefault="002F3C19" w:rsidP="002F3C19">
      <w:pPr>
        <w:shd w:val="clear" w:color="auto" w:fill="FFFFFF"/>
        <w:spacing w:after="0" w:line="240" w:lineRule="auto"/>
        <w:jc w:val="center"/>
        <w:rPr>
          <w:rFonts w:ascii="Cambria" w:eastAsia="Times New Roman" w:hAnsi="Cambria" w:cs="Times New Roman"/>
          <w:b/>
        </w:rPr>
      </w:pPr>
    </w:p>
    <w:p w14:paraId="4E485F2A" w14:textId="77777777" w:rsidR="002F3C19" w:rsidRPr="00D616F4" w:rsidRDefault="002F3C19" w:rsidP="002F3C19">
      <w:pPr>
        <w:shd w:val="clear" w:color="auto" w:fill="FFFFFF"/>
        <w:spacing w:after="0" w:line="240" w:lineRule="auto"/>
        <w:jc w:val="center"/>
        <w:rPr>
          <w:rFonts w:ascii="Cambria" w:eastAsia="Times New Roman" w:hAnsi="Cambria" w:cs="Times New Roman"/>
          <w:b/>
        </w:rPr>
      </w:pPr>
      <w:r w:rsidRPr="00D616F4">
        <w:rPr>
          <w:rFonts w:ascii="Cambria" w:eastAsia="Times New Roman" w:hAnsi="Cambria" w:cs="Times New Roman"/>
          <w:b/>
        </w:rPr>
        <w:t>John Anderson</w:t>
      </w:r>
    </w:p>
    <w:p w14:paraId="49779A3C" w14:textId="77777777" w:rsidR="002F3C19" w:rsidRPr="00D616F4" w:rsidRDefault="002F3C19" w:rsidP="002F3C19">
      <w:pPr>
        <w:shd w:val="clear" w:color="auto" w:fill="FFFFFF"/>
        <w:spacing w:after="0" w:line="240" w:lineRule="auto"/>
        <w:jc w:val="center"/>
        <w:rPr>
          <w:rFonts w:ascii="Cambria" w:eastAsia="Times New Roman" w:hAnsi="Cambria" w:cs="Times New Roman"/>
          <w:b/>
        </w:rPr>
      </w:pPr>
      <w:r w:rsidRPr="00D616F4">
        <w:rPr>
          <w:rFonts w:ascii="Cambria" w:eastAsia="Times New Roman" w:hAnsi="Cambria" w:cs="Times New Roman"/>
          <w:b/>
        </w:rPr>
        <w:t xml:space="preserve">Department of Agricultural Economics and Agribusiness </w:t>
      </w:r>
    </w:p>
    <w:p w14:paraId="0C64D0AF" w14:textId="77777777" w:rsidR="002F3C19" w:rsidRPr="00D616F4" w:rsidRDefault="002F3C19" w:rsidP="002F3C19">
      <w:pPr>
        <w:shd w:val="clear" w:color="auto" w:fill="FFFFFF"/>
        <w:spacing w:after="0" w:line="240" w:lineRule="auto"/>
        <w:jc w:val="center"/>
        <w:rPr>
          <w:rFonts w:ascii="Cambria" w:eastAsia="Times New Roman" w:hAnsi="Cambria" w:cs="Times New Roman"/>
          <w:b/>
        </w:rPr>
      </w:pPr>
    </w:p>
    <w:p w14:paraId="12A677BC" w14:textId="77777777" w:rsidR="002F3C19" w:rsidRPr="00D616F4" w:rsidRDefault="002F3C19" w:rsidP="002F3C19">
      <w:pPr>
        <w:shd w:val="clear" w:color="auto" w:fill="FFFFFF"/>
        <w:spacing w:after="0" w:line="240" w:lineRule="auto"/>
        <w:jc w:val="center"/>
        <w:rPr>
          <w:rFonts w:ascii="Cambria" w:eastAsia="Times New Roman" w:hAnsi="Cambria" w:cs="Times New Roman"/>
          <w:b/>
        </w:rPr>
      </w:pPr>
    </w:p>
    <w:p w14:paraId="174C1694" w14:textId="77777777" w:rsidR="002F3C19" w:rsidRPr="00D616F4" w:rsidRDefault="002F3C19" w:rsidP="002F3C19">
      <w:pPr>
        <w:shd w:val="clear" w:color="auto" w:fill="FFFFFF"/>
        <w:spacing w:after="0" w:line="240" w:lineRule="auto"/>
        <w:jc w:val="center"/>
        <w:rPr>
          <w:rFonts w:ascii="Cambria" w:eastAsia="Times New Roman" w:hAnsi="Cambria" w:cs="Times New Roman"/>
          <w:b/>
        </w:rPr>
      </w:pPr>
    </w:p>
    <w:p w14:paraId="5D0AF6D8" w14:textId="77777777" w:rsidR="002F3C19" w:rsidRPr="00D616F4" w:rsidRDefault="007D1E45" w:rsidP="002F3C19">
      <w:pPr>
        <w:shd w:val="clear" w:color="auto" w:fill="FFFFFF"/>
        <w:spacing w:after="0" w:line="240" w:lineRule="auto"/>
        <w:jc w:val="center"/>
        <w:rPr>
          <w:rFonts w:ascii="Cambria" w:eastAsia="Times New Roman" w:hAnsi="Cambria" w:cs="Times New Roman"/>
          <w:b/>
        </w:rPr>
      </w:pPr>
      <w:r w:rsidRPr="00D616F4">
        <w:rPr>
          <w:rFonts w:ascii="Cambria" w:eastAsia="Times New Roman" w:hAnsi="Cambria" w:cs="Times New Roman"/>
          <w:b/>
        </w:rPr>
        <w:t xml:space="preserve">May </w:t>
      </w:r>
      <w:r w:rsidR="00E44BDB" w:rsidRPr="00D616F4">
        <w:rPr>
          <w:rFonts w:ascii="Cambria" w:eastAsia="Times New Roman" w:hAnsi="Cambria" w:cs="Times New Roman"/>
          <w:b/>
        </w:rPr>
        <w:t>22</w:t>
      </w:r>
      <w:r w:rsidR="002F3C19" w:rsidRPr="00D616F4">
        <w:rPr>
          <w:rFonts w:ascii="Cambria" w:eastAsia="Times New Roman" w:hAnsi="Cambria" w:cs="Times New Roman"/>
          <w:b/>
        </w:rPr>
        <w:t>, 2020</w:t>
      </w:r>
    </w:p>
    <w:p w14:paraId="08AC9676" w14:textId="77777777" w:rsidR="002F3C19" w:rsidRPr="00D616F4" w:rsidRDefault="002F3C19" w:rsidP="002F3C19">
      <w:pPr>
        <w:shd w:val="clear" w:color="auto" w:fill="FFFFFF"/>
        <w:spacing w:after="0" w:line="240" w:lineRule="auto"/>
        <w:jc w:val="center"/>
        <w:rPr>
          <w:rFonts w:ascii="Cambria" w:eastAsia="Times New Roman" w:hAnsi="Cambria" w:cs="Times New Roman"/>
          <w:b/>
        </w:rPr>
      </w:pPr>
    </w:p>
    <w:p w14:paraId="6014E61C" w14:textId="77777777" w:rsidR="00B764A5" w:rsidRPr="00D616F4" w:rsidRDefault="002F3C19" w:rsidP="00B764A5">
      <w:pPr>
        <w:rPr>
          <w:rFonts w:ascii="Cambria" w:hAnsi="Cambria"/>
        </w:rPr>
      </w:pPr>
      <w:r w:rsidRPr="00D616F4">
        <w:rPr>
          <w:rFonts w:ascii="Cambria" w:hAnsi="Cambria"/>
        </w:rPr>
        <w:br w:type="page"/>
      </w:r>
    </w:p>
    <w:p w14:paraId="1CCCB7AF" w14:textId="77777777" w:rsidR="00104D2F" w:rsidRPr="00D616F4" w:rsidRDefault="00104D2F" w:rsidP="00865D82">
      <w:pPr>
        <w:rPr>
          <w:rFonts w:ascii="Cambria" w:hAnsi="Cambria"/>
          <w:b/>
        </w:rPr>
      </w:pPr>
      <w:r w:rsidRPr="00D616F4">
        <w:rPr>
          <w:rFonts w:ascii="Cambria" w:hAnsi="Cambria"/>
          <w:b/>
        </w:rPr>
        <w:lastRenderedPageBreak/>
        <w:t>Market Update</w:t>
      </w:r>
    </w:p>
    <w:p w14:paraId="74AF838C" w14:textId="77777777" w:rsidR="00673DA9" w:rsidRPr="00D616F4" w:rsidRDefault="00B764A5" w:rsidP="00865D82">
      <w:pPr>
        <w:rPr>
          <w:rFonts w:ascii="Cambria" w:hAnsi="Cambria"/>
        </w:rPr>
      </w:pPr>
      <w:r w:rsidRPr="00D616F4">
        <w:rPr>
          <w:rFonts w:ascii="Cambria" w:hAnsi="Cambria"/>
        </w:rPr>
        <w:t xml:space="preserve">This week’s numbers suggest that the livestock and poultry sector is doing a remarkable job of achieving </w:t>
      </w:r>
      <w:r w:rsidR="00EF042E" w:rsidRPr="00D616F4">
        <w:rPr>
          <w:rFonts w:ascii="Cambria" w:hAnsi="Cambria"/>
        </w:rPr>
        <w:t>some</w:t>
      </w:r>
      <w:r w:rsidRPr="00D616F4">
        <w:rPr>
          <w:rFonts w:ascii="Cambria" w:hAnsi="Cambria"/>
        </w:rPr>
        <w:t xml:space="preserve"> semblance of normalcy in the midst of ongoing immense challenges from COVID-19.  </w:t>
      </w:r>
    </w:p>
    <w:p w14:paraId="0C567CEF" w14:textId="77777777" w:rsidR="00B764A5" w:rsidRPr="00D616F4" w:rsidRDefault="00B764A5" w:rsidP="00865D82">
      <w:pPr>
        <w:rPr>
          <w:rFonts w:ascii="Cambria" w:hAnsi="Cambria"/>
        </w:rPr>
      </w:pPr>
      <w:r w:rsidRPr="00D616F4">
        <w:rPr>
          <w:rFonts w:ascii="Cambria" w:hAnsi="Cambria"/>
        </w:rPr>
        <w:t xml:space="preserve">Slaughter numbers remain down from normal, whether one defines that as year-ago levels or pre-COVID 2020 levels.  However, the last couple of weeks have witnessed a remarkable recovery in processing volumes for all three of the major species.  This week, cattle slaughter topped 100,000 head per day </w:t>
      </w:r>
      <w:r w:rsidR="00B924CE" w:rsidRPr="00D616F4">
        <w:rPr>
          <w:rFonts w:ascii="Cambria" w:hAnsi="Cambria"/>
        </w:rPr>
        <w:t>for the last three days of the week</w:t>
      </w:r>
      <w:r w:rsidRPr="00D616F4">
        <w:rPr>
          <w:rFonts w:ascii="Cambria" w:hAnsi="Cambria"/>
        </w:rPr>
        <w:t xml:space="preserve">.  </w:t>
      </w:r>
      <w:r w:rsidR="00B924CE" w:rsidRPr="00D616F4">
        <w:rPr>
          <w:rFonts w:ascii="Cambria" w:hAnsi="Cambria"/>
        </w:rPr>
        <w:t>It had been well over a month since daily cattle slaughter had attained that level</w:t>
      </w:r>
      <w:r w:rsidR="00334C7C" w:rsidRPr="00D616F4">
        <w:rPr>
          <w:rFonts w:ascii="Cambria" w:hAnsi="Cambria"/>
        </w:rPr>
        <w:t xml:space="preserve">.  Figure 1 shows weekly cattle, hog, and broiler slaughter as a percentage of the 2019 weekly average slaughter level.  While processing for cattle and hogs remains well-below the pre-COVID pace and chicken slaughter is modestly lower, the situation is dramatically improved from a month ago.  </w:t>
      </w:r>
    </w:p>
    <w:p w14:paraId="6D03A607" w14:textId="77777777" w:rsidR="00334C7C" w:rsidRPr="00D616F4" w:rsidRDefault="00334C7C" w:rsidP="00865D82">
      <w:pPr>
        <w:rPr>
          <w:rFonts w:ascii="Cambria" w:hAnsi="Cambria"/>
        </w:rPr>
      </w:pPr>
      <w:r w:rsidRPr="00D616F4">
        <w:rPr>
          <w:rFonts w:ascii="Cambria" w:hAnsi="Cambria"/>
          <w:noProof/>
        </w:rPr>
        <w:drawing>
          <wp:inline distT="0" distB="0" distL="0" distR="0" wp14:anchorId="5232B847" wp14:editId="319E4845">
            <wp:extent cx="4724400" cy="2349500"/>
            <wp:effectExtent l="0" t="0" r="0" b="0"/>
            <wp:docPr id="1" name="Chart 1">
              <a:extLst xmlns:a="http://schemas.openxmlformats.org/drawingml/2006/main">
                <a:ext uri="{FF2B5EF4-FFF2-40B4-BE49-F238E27FC236}">
                  <a16:creationId xmlns:a16="http://schemas.microsoft.com/office/drawing/2014/main" id="{C2E7EF10-0F66-4107-B785-8A03DBFE1A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0054624" w14:textId="77777777" w:rsidR="00334C7C" w:rsidRPr="00D616F4" w:rsidRDefault="00334C7C" w:rsidP="00334C7C">
      <w:pPr>
        <w:spacing w:after="0"/>
        <w:rPr>
          <w:rFonts w:ascii="Cambria" w:hAnsi="Cambria"/>
          <w:sz w:val="18"/>
          <w:szCs w:val="18"/>
        </w:rPr>
      </w:pPr>
      <w:r w:rsidRPr="00D616F4">
        <w:rPr>
          <w:rFonts w:ascii="Cambria" w:hAnsi="Cambria"/>
          <w:sz w:val="18"/>
          <w:szCs w:val="18"/>
        </w:rPr>
        <w:t>Data Source: USDA Agricultural Marketing Service through Livestock Marketing Information Center.</w:t>
      </w:r>
    </w:p>
    <w:p w14:paraId="2560A6A0" w14:textId="77777777" w:rsidR="00334C7C" w:rsidRPr="00D616F4" w:rsidRDefault="00334C7C" w:rsidP="00865D82">
      <w:pPr>
        <w:rPr>
          <w:rFonts w:ascii="Cambria" w:hAnsi="Cambria"/>
        </w:rPr>
      </w:pPr>
      <w:r w:rsidRPr="00D616F4">
        <w:rPr>
          <w:rFonts w:ascii="Cambria" w:hAnsi="Cambria"/>
          <w:b/>
        </w:rPr>
        <w:t>Figure 1.</w:t>
      </w:r>
      <w:r w:rsidRPr="00D616F4">
        <w:rPr>
          <w:rFonts w:ascii="Cambria" w:hAnsi="Cambria"/>
        </w:rPr>
        <w:t xml:space="preserve">  2020 Weekly Cattle, Hog, and Broiler Slaughter as a Percent of 2019 Weekly Average Slaughter.</w:t>
      </w:r>
    </w:p>
    <w:p w14:paraId="07E50FE9" w14:textId="77777777" w:rsidR="00154C52" w:rsidRPr="00D616F4" w:rsidRDefault="00334C7C" w:rsidP="00865D82">
      <w:pPr>
        <w:rPr>
          <w:rFonts w:ascii="Cambria" w:hAnsi="Cambria"/>
        </w:rPr>
      </w:pPr>
      <w:r w:rsidRPr="00D616F4">
        <w:rPr>
          <w:rFonts w:ascii="Cambria" w:hAnsi="Cambria"/>
        </w:rPr>
        <w:t>Two questions are critical for the market moving forward.  First, can plants continue to remain open consistently or will recurring outbreaks necessitate waves of closures similar to what occurred last month?  Clearly, that situation would pre</w:t>
      </w:r>
      <w:r w:rsidR="00B924CE" w:rsidRPr="00D616F4">
        <w:rPr>
          <w:rFonts w:ascii="Cambria" w:hAnsi="Cambria"/>
        </w:rPr>
        <w:t>s</w:t>
      </w:r>
      <w:r w:rsidRPr="00D616F4">
        <w:rPr>
          <w:rFonts w:ascii="Cambria" w:hAnsi="Cambria"/>
        </w:rPr>
        <w:t xml:space="preserve">ent a major challenge to the market, likely resulting in extreme price volatility at all market levels.  </w:t>
      </w:r>
      <w:r w:rsidR="00EF042E" w:rsidRPr="00D616F4">
        <w:rPr>
          <w:rFonts w:ascii="Cambria" w:hAnsi="Cambria"/>
        </w:rPr>
        <w:t xml:space="preserve">Intense effort is being made now in the management and operation of plants to avoid this outcome.  Second, how close to full capacity can plants get while operating under the requirements of social distancing?  That is the process that figure 1 above is illustrating.  So far, the chicken sector is managing to run closer to the pre-COVID normal than are the beef and pork sectors.  However, beef and pork have made great strides in increasing throughput in the last three weeks.  </w:t>
      </w:r>
    </w:p>
    <w:p w14:paraId="79A01191" w14:textId="77777777" w:rsidR="00334C7C" w:rsidRPr="00D616F4" w:rsidRDefault="00EF042E" w:rsidP="00865D82">
      <w:pPr>
        <w:rPr>
          <w:rFonts w:ascii="Cambria" w:hAnsi="Cambria"/>
        </w:rPr>
      </w:pPr>
      <w:r w:rsidRPr="00D616F4">
        <w:rPr>
          <w:rFonts w:ascii="Cambria" w:hAnsi="Cambria"/>
        </w:rPr>
        <w:t xml:space="preserve">Market implications of the outcome of this process are clear.  We have seen in the last month how the bottleneck </w:t>
      </w:r>
      <w:r w:rsidR="00B924CE" w:rsidRPr="00D616F4">
        <w:rPr>
          <w:rFonts w:ascii="Cambria" w:hAnsi="Cambria"/>
        </w:rPr>
        <w:t>at the processor level</w:t>
      </w:r>
      <w:r w:rsidRPr="00D616F4">
        <w:rPr>
          <w:rFonts w:ascii="Cambria" w:hAnsi="Cambria"/>
        </w:rPr>
        <w:t xml:space="preserve"> affects prices: downward pressure on farm prices for livestock and upward pressure on wholesale (and, in turn) retail prices for meat.  The further any particular sector (beef, pork, or poultry) remains from its pre-COVID normal, the less competitive that sector will be.  Market share will belong to the sectors – and the companies – that can operate the most efficiently in this new environment.  The stakes </w:t>
      </w:r>
      <w:r w:rsidR="00B924CE" w:rsidRPr="00D616F4">
        <w:rPr>
          <w:rFonts w:ascii="Cambria" w:hAnsi="Cambria"/>
        </w:rPr>
        <w:t>in</w:t>
      </w:r>
      <w:r w:rsidRPr="00D616F4">
        <w:rPr>
          <w:rFonts w:ascii="Cambria" w:hAnsi="Cambria"/>
        </w:rPr>
        <w:t xml:space="preserve"> this </w:t>
      </w:r>
      <w:r w:rsidR="00B924CE" w:rsidRPr="00D616F4">
        <w:rPr>
          <w:rFonts w:ascii="Cambria" w:hAnsi="Cambria"/>
        </w:rPr>
        <w:t>race to adapt</w:t>
      </w:r>
      <w:r w:rsidRPr="00D616F4">
        <w:rPr>
          <w:rFonts w:ascii="Cambria" w:hAnsi="Cambria"/>
        </w:rPr>
        <w:t xml:space="preserve"> operations to the post-COVID reality are thus very high.</w:t>
      </w:r>
    </w:p>
    <w:p w14:paraId="0CCEE329" w14:textId="77777777" w:rsidR="00EF042E" w:rsidRPr="00D616F4" w:rsidRDefault="00B924CE" w:rsidP="00865D82">
      <w:pPr>
        <w:rPr>
          <w:rFonts w:ascii="Cambria" w:hAnsi="Cambria"/>
        </w:rPr>
      </w:pPr>
      <w:r w:rsidRPr="00D616F4">
        <w:rPr>
          <w:rFonts w:ascii="Cambria" w:hAnsi="Cambria"/>
        </w:rPr>
        <w:lastRenderedPageBreak/>
        <w:t xml:space="preserve">The payoff to increasing throughput in processing operations for livestock operations has been apparent in the last couple of weeks.  Fed cattle prices are sharply higher from their late-April lows.  The 5-Area weighted average fed steer price jumped by almost $8 two weeks ago.  Last week, it increased by a similar amount.  Figure 2 shows the weekly 5-Area weighted average fed steer negotiated live </w:t>
      </w:r>
      <w:r w:rsidR="000832BF" w:rsidRPr="00D616F4">
        <w:rPr>
          <w:rFonts w:ascii="Cambria" w:hAnsi="Cambria"/>
        </w:rPr>
        <w:t xml:space="preserve">price </w:t>
      </w:r>
      <w:r w:rsidRPr="00D616F4">
        <w:rPr>
          <w:rFonts w:ascii="Cambria" w:hAnsi="Cambria"/>
        </w:rPr>
        <w:t>(noting that data for last week are preliminary and are subject to change slightly).</w:t>
      </w:r>
    </w:p>
    <w:p w14:paraId="77ED5C8E" w14:textId="77777777" w:rsidR="00334C7C" w:rsidRPr="00D616F4" w:rsidRDefault="000832BF" w:rsidP="00865D82">
      <w:pPr>
        <w:rPr>
          <w:rFonts w:ascii="Cambria" w:hAnsi="Cambria"/>
        </w:rPr>
      </w:pPr>
      <w:r w:rsidRPr="00D616F4">
        <w:rPr>
          <w:rFonts w:ascii="Cambria" w:hAnsi="Cambria"/>
          <w:noProof/>
        </w:rPr>
        <w:drawing>
          <wp:inline distT="0" distB="0" distL="0" distR="0" wp14:anchorId="78FA321A" wp14:editId="4A0DA5D4">
            <wp:extent cx="4349750" cy="2292350"/>
            <wp:effectExtent l="0" t="0" r="0" b="0"/>
            <wp:docPr id="3" name="Chart 3">
              <a:extLst xmlns:a="http://schemas.openxmlformats.org/drawingml/2006/main">
                <a:ext uri="{FF2B5EF4-FFF2-40B4-BE49-F238E27FC236}">
                  <a16:creationId xmlns:a16="http://schemas.microsoft.com/office/drawing/2014/main" id="{539A1656-F231-42BA-AA3A-AD6A8078F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804AA6C" w14:textId="77777777" w:rsidR="000832BF" w:rsidRPr="00D616F4" w:rsidRDefault="000832BF" w:rsidP="000832BF">
      <w:pPr>
        <w:spacing w:after="0"/>
        <w:rPr>
          <w:rFonts w:ascii="Cambria" w:hAnsi="Cambria"/>
          <w:sz w:val="18"/>
          <w:szCs w:val="18"/>
        </w:rPr>
      </w:pPr>
      <w:r w:rsidRPr="00D616F4">
        <w:rPr>
          <w:rFonts w:ascii="Cambria" w:hAnsi="Cambria"/>
          <w:sz w:val="18"/>
          <w:szCs w:val="18"/>
        </w:rPr>
        <w:t>Data Source: USDA Agricultural Marketing Service through Livestock Marketing Information Center.</w:t>
      </w:r>
    </w:p>
    <w:p w14:paraId="160ACE60" w14:textId="77777777" w:rsidR="000832BF" w:rsidRPr="00D616F4" w:rsidRDefault="000832BF" w:rsidP="00865D82">
      <w:pPr>
        <w:rPr>
          <w:rFonts w:ascii="Cambria" w:hAnsi="Cambria"/>
        </w:rPr>
      </w:pPr>
      <w:r w:rsidRPr="00D616F4">
        <w:rPr>
          <w:rFonts w:ascii="Cambria" w:hAnsi="Cambria"/>
          <w:b/>
        </w:rPr>
        <w:t>Figure 2.</w:t>
      </w:r>
      <w:r w:rsidRPr="00D616F4">
        <w:rPr>
          <w:rFonts w:ascii="Cambria" w:hAnsi="Cambria"/>
        </w:rPr>
        <w:t xml:space="preserve">  Weekly Average Fed Steer Price: 5-Area Weighted Average, Negotiated Live</w:t>
      </w:r>
    </w:p>
    <w:p w14:paraId="379BE3E2" w14:textId="77777777" w:rsidR="00154C52" w:rsidRPr="00D616F4" w:rsidRDefault="00FF52A4" w:rsidP="00865D82">
      <w:pPr>
        <w:rPr>
          <w:rFonts w:ascii="Cambria" w:hAnsi="Cambria"/>
        </w:rPr>
      </w:pPr>
      <w:r w:rsidRPr="00D616F4">
        <w:rPr>
          <w:rFonts w:ascii="Cambria" w:hAnsi="Cambria"/>
        </w:rPr>
        <w:t xml:space="preserve">Wholesale beef prices have fallen sharply as beef production has recovered.  Last week, the boxed beef cutout value averaged just over $400/hundredweight (cwt) on Friday morning – a decline of almost $75/cwt since its daily high on May 12.  </w:t>
      </w:r>
    </w:p>
    <w:p w14:paraId="728238FA" w14:textId="77777777" w:rsidR="00154C52" w:rsidRPr="00D616F4" w:rsidRDefault="00FF52A4" w:rsidP="00865D82">
      <w:pPr>
        <w:rPr>
          <w:rFonts w:ascii="Cambria" w:hAnsi="Cambria"/>
        </w:rPr>
      </w:pPr>
      <w:r w:rsidRPr="00D616F4">
        <w:rPr>
          <w:rFonts w:ascii="Cambria" w:hAnsi="Cambria"/>
        </w:rPr>
        <w:t>In the hog/pork market, prices have not been as strongly influenced by the recovery in processing volumes.  Last week’s negotiated hog prices remained in the high $30s/cwt, up from mid-April lows but not much changed in the last couple of weeks.  Wholesale pork prices, however, have fallen.  The pork cutout value retreated by over $10/cwt over the course of last week.</w:t>
      </w:r>
    </w:p>
    <w:p w14:paraId="08D0D3E6" w14:textId="77777777" w:rsidR="000832BF" w:rsidRPr="00D616F4" w:rsidRDefault="00FF52A4" w:rsidP="00865D82">
      <w:pPr>
        <w:rPr>
          <w:rFonts w:ascii="Cambria" w:hAnsi="Cambria"/>
        </w:rPr>
      </w:pPr>
      <w:r w:rsidRPr="00D616F4">
        <w:rPr>
          <w:rFonts w:ascii="Cambria" w:hAnsi="Cambria"/>
        </w:rPr>
        <w:t xml:space="preserve"> </w:t>
      </w:r>
      <w:r w:rsidR="00996B86" w:rsidRPr="00D616F4">
        <w:rPr>
          <w:rFonts w:ascii="Cambria" w:hAnsi="Cambria"/>
        </w:rPr>
        <w:t xml:space="preserve">In the chicken market, the </w:t>
      </w:r>
      <w:r w:rsidR="005C6CE2" w:rsidRPr="00D616F4">
        <w:rPr>
          <w:rFonts w:ascii="Cambria" w:hAnsi="Cambria"/>
        </w:rPr>
        <w:t xml:space="preserve">effects of the recent bounce in processing are more ambiguous.  Broiler eggs set have also bounced back to within a couple of percent of a year ago.  Chick placements remain about 10% below year ago but should, of course, be expected to lag eggs set.  Wholesale prices are a mixed bag.  The broadest measure of wholesale prices, the national average broiler composite, dropped 3 cents/pound last week after rising steadily for the prior month.  Several broiler pieces saw significantly higher prices last week, though: boneless/skinless (B/S) breasts and thighs and legs, in particular.  It will be interesting to keep an eye on broiler pieces over the next few weeks to see how processing plant adjustments might be affecting product availability and, therefore, price.  Social distancing requirements may well make it more difficult to produce some of the value-added products that are popular on the market (e.g., B/S breasts and thighs), leading to more product being diverted to whole birds or </w:t>
      </w:r>
      <w:r w:rsidR="000B44B0" w:rsidRPr="00D616F4">
        <w:rPr>
          <w:rFonts w:ascii="Cambria" w:hAnsi="Cambria"/>
        </w:rPr>
        <w:t>lesser-processed pieces (e.g., leg quarters).  Last week, while B/S product prices continued to move higher, leg quarter prices fell by about 4%.  One data point doesn’t make a trend, but this issue will be worth following.</w:t>
      </w:r>
    </w:p>
    <w:p w14:paraId="4E5DC272" w14:textId="77777777" w:rsidR="000B44B0" w:rsidRPr="00D616F4" w:rsidRDefault="00D34782" w:rsidP="00865D82">
      <w:pPr>
        <w:rPr>
          <w:rFonts w:ascii="Cambria" w:hAnsi="Cambria"/>
          <w:b/>
        </w:rPr>
      </w:pPr>
      <w:r w:rsidRPr="00D616F4">
        <w:rPr>
          <w:rFonts w:ascii="Cambria" w:hAnsi="Cambria"/>
          <w:b/>
        </w:rPr>
        <w:t>Cattle on Feed</w:t>
      </w:r>
    </w:p>
    <w:p w14:paraId="7DF96979" w14:textId="77777777" w:rsidR="00D34782" w:rsidRPr="00D616F4" w:rsidRDefault="00D34782" w:rsidP="00865D82">
      <w:pPr>
        <w:rPr>
          <w:rFonts w:ascii="Cambria" w:hAnsi="Cambria"/>
        </w:rPr>
      </w:pPr>
      <w:r w:rsidRPr="00D616F4">
        <w:rPr>
          <w:rFonts w:ascii="Cambria" w:hAnsi="Cambria"/>
        </w:rPr>
        <w:lastRenderedPageBreak/>
        <w:t xml:space="preserve">On Friday, USDA released their latest </w:t>
      </w:r>
      <w:r w:rsidRPr="00D616F4">
        <w:rPr>
          <w:rFonts w:ascii="Cambria" w:hAnsi="Cambria"/>
          <w:i/>
        </w:rPr>
        <w:t>Cattle on Feed</w:t>
      </w:r>
      <w:r w:rsidRPr="00D616F4">
        <w:rPr>
          <w:rFonts w:ascii="Cambria" w:hAnsi="Cambria"/>
        </w:rPr>
        <w:t xml:space="preserve"> report.  Headline numbers in the report were basically in line with market expectations</w:t>
      </w:r>
      <w:r w:rsidR="000B0DEC" w:rsidRPr="00D616F4">
        <w:rPr>
          <w:rFonts w:ascii="Cambria" w:hAnsi="Cambria"/>
        </w:rPr>
        <w:t xml:space="preserve">.  </w:t>
      </w:r>
    </w:p>
    <w:p w14:paraId="645053E5" w14:textId="77777777" w:rsidR="000B0DEC" w:rsidRPr="00D616F4" w:rsidRDefault="000B0DEC" w:rsidP="000B0DEC">
      <w:pPr>
        <w:jc w:val="both"/>
        <w:rPr>
          <w:rFonts w:ascii="Cambria" w:hAnsi="Cambria"/>
        </w:rPr>
      </w:pPr>
      <w:r w:rsidRPr="00D616F4">
        <w:rPr>
          <w:rFonts w:ascii="Cambria" w:hAnsi="Cambria"/>
          <w:b/>
        </w:rPr>
        <w:t>Table 1.</w:t>
      </w:r>
      <w:r w:rsidRPr="00D616F4">
        <w:rPr>
          <w:rFonts w:ascii="Cambria" w:hAnsi="Cambria"/>
        </w:rPr>
        <w:t xml:space="preserve">  May 2020 </w:t>
      </w:r>
      <w:r w:rsidRPr="00D616F4">
        <w:rPr>
          <w:rFonts w:ascii="Cambria" w:hAnsi="Cambria"/>
          <w:i/>
        </w:rPr>
        <w:t>Cattle on Feed</w:t>
      </w:r>
      <w:r w:rsidRPr="00D616F4">
        <w:rPr>
          <w:rFonts w:ascii="Cambria" w:hAnsi="Cambria"/>
        </w:rPr>
        <w:t xml:space="preserve"> (</w:t>
      </w:r>
      <w:r w:rsidRPr="00D616F4">
        <w:rPr>
          <w:rFonts w:ascii="Cambria" w:hAnsi="Cambria"/>
          <w:i/>
        </w:rPr>
        <w:t>COF</w:t>
      </w:r>
      <w:r w:rsidRPr="00D616F4">
        <w:rPr>
          <w:rFonts w:ascii="Cambria" w:hAnsi="Cambria"/>
        </w:rPr>
        <w:t xml:space="preserve">) Summary: Actual vs. Pre-Report Figures  </w:t>
      </w:r>
    </w:p>
    <w:tbl>
      <w:tblPr>
        <w:tblStyle w:val="TableGrid"/>
        <w:tblW w:w="8460" w:type="dxa"/>
        <w:tblLook w:val="04A0" w:firstRow="1" w:lastRow="0" w:firstColumn="1" w:lastColumn="0" w:noHBand="0" w:noVBand="1"/>
      </w:tblPr>
      <w:tblGrid>
        <w:gridCol w:w="2358"/>
        <w:gridCol w:w="1915"/>
        <w:gridCol w:w="1915"/>
        <w:gridCol w:w="2272"/>
      </w:tblGrid>
      <w:tr w:rsidR="000B0DEC" w:rsidRPr="00D616F4" w14:paraId="115A174D" w14:textId="77777777" w:rsidTr="000B0DEC">
        <w:tc>
          <w:tcPr>
            <w:tcW w:w="2358" w:type="dxa"/>
            <w:tcBorders>
              <w:top w:val="single" w:sz="4" w:space="0" w:color="auto"/>
              <w:left w:val="nil"/>
              <w:bottom w:val="single" w:sz="4" w:space="0" w:color="000000" w:themeColor="text1"/>
              <w:right w:val="nil"/>
            </w:tcBorders>
          </w:tcPr>
          <w:p w14:paraId="78AF6BA7" w14:textId="77777777" w:rsidR="000B0DEC" w:rsidRPr="00D616F4" w:rsidRDefault="000B0DEC" w:rsidP="004C3A11">
            <w:pPr>
              <w:jc w:val="both"/>
              <w:rPr>
                <w:rFonts w:ascii="Cambria" w:hAnsi="Cambria"/>
              </w:rPr>
            </w:pPr>
          </w:p>
        </w:tc>
        <w:tc>
          <w:tcPr>
            <w:tcW w:w="1915" w:type="dxa"/>
            <w:tcBorders>
              <w:top w:val="single" w:sz="4" w:space="0" w:color="auto"/>
              <w:left w:val="nil"/>
              <w:bottom w:val="single" w:sz="4" w:space="0" w:color="000000" w:themeColor="text1"/>
              <w:right w:val="nil"/>
            </w:tcBorders>
          </w:tcPr>
          <w:p w14:paraId="7CC1E258" w14:textId="77777777" w:rsidR="000B0DEC" w:rsidRPr="00D616F4" w:rsidRDefault="000B0DEC" w:rsidP="004C3A11">
            <w:pPr>
              <w:jc w:val="center"/>
              <w:rPr>
                <w:rFonts w:ascii="Cambria" w:hAnsi="Cambria"/>
              </w:rPr>
            </w:pPr>
            <w:r w:rsidRPr="00D616F4">
              <w:rPr>
                <w:rFonts w:ascii="Cambria" w:hAnsi="Cambria"/>
              </w:rPr>
              <w:t>1,000 head</w:t>
            </w:r>
          </w:p>
        </w:tc>
        <w:tc>
          <w:tcPr>
            <w:tcW w:w="1915" w:type="dxa"/>
            <w:tcBorders>
              <w:top w:val="single" w:sz="4" w:space="0" w:color="auto"/>
              <w:left w:val="nil"/>
              <w:bottom w:val="single" w:sz="4" w:space="0" w:color="000000" w:themeColor="text1"/>
              <w:right w:val="nil"/>
            </w:tcBorders>
          </w:tcPr>
          <w:p w14:paraId="351553C3" w14:textId="77777777" w:rsidR="000B0DEC" w:rsidRPr="00D616F4" w:rsidRDefault="000B0DEC" w:rsidP="000B0DEC">
            <w:pPr>
              <w:rPr>
                <w:rFonts w:ascii="Cambria" w:hAnsi="Cambria"/>
              </w:rPr>
            </w:pPr>
            <w:r w:rsidRPr="00D616F4">
              <w:rPr>
                <w:rFonts w:ascii="Cambria" w:hAnsi="Cambria"/>
              </w:rPr>
              <w:t>% of Prior Year</w:t>
            </w:r>
          </w:p>
        </w:tc>
        <w:tc>
          <w:tcPr>
            <w:tcW w:w="2272" w:type="dxa"/>
            <w:tcBorders>
              <w:top w:val="single" w:sz="4" w:space="0" w:color="auto"/>
              <w:left w:val="nil"/>
              <w:bottom w:val="single" w:sz="4" w:space="0" w:color="000000" w:themeColor="text1"/>
              <w:right w:val="nil"/>
            </w:tcBorders>
          </w:tcPr>
          <w:p w14:paraId="0E3B3B2E" w14:textId="77777777" w:rsidR="000B0DEC" w:rsidRPr="00D616F4" w:rsidRDefault="000B0DEC" w:rsidP="000B0DEC">
            <w:pPr>
              <w:rPr>
                <w:rFonts w:ascii="Cambria" w:hAnsi="Cambria"/>
              </w:rPr>
            </w:pPr>
            <w:r w:rsidRPr="00D616F4">
              <w:rPr>
                <w:rFonts w:ascii="Cambria" w:hAnsi="Cambria"/>
              </w:rPr>
              <w:t>Pre-Report Estimates*</w:t>
            </w:r>
          </w:p>
        </w:tc>
      </w:tr>
      <w:tr w:rsidR="000B0DEC" w:rsidRPr="00D616F4" w14:paraId="6B7E0D79" w14:textId="77777777" w:rsidTr="000B0DEC">
        <w:tc>
          <w:tcPr>
            <w:tcW w:w="2358" w:type="dxa"/>
            <w:tcBorders>
              <w:left w:val="nil"/>
              <w:bottom w:val="nil"/>
              <w:right w:val="nil"/>
            </w:tcBorders>
          </w:tcPr>
          <w:p w14:paraId="483C924E" w14:textId="77777777" w:rsidR="000B0DEC" w:rsidRPr="00D616F4" w:rsidRDefault="000B0DEC" w:rsidP="004C3A11">
            <w:pPr>
              <w:jc w:val="both"/>
              <w:rPr>
                <w:rFonts w:ascii="Cambria" w:hAnsi="Cambria"/>
              </w:rPr>
            </w:pPr>
            <w:r w:rsidRPr="00D616F4">
              <w:rPr>
                <w:rFonts w:ascii="Cambria" w:hAnsi="Cambria"/>
              </w:rPr>
              <w:t>On Feed May 1</w:t>
            </w:r>
          </w:p>
        </w:tc>
        <w:tc>
          <w:tcPr>
            <w:tcW w:w="1915" w:type="dxa"/>
            <w:tcBorders>
              <w:left w:val="nil"/>
              <w:bottom w:val="nil"/>
              <w:right w:val="nil"/>
            </w:tcBorders>
          </w:tcPr>
          <w:p w14:paraId="56C5900E" w14:textId="77777777" w:rsidR="000B0DEC" w:rsidRPr="00D616F4" w:rsidRDefault="000B0DEC" w:rsidP="004C3A11">
            <w:pPr>
              <w:jc w:val="center"/>
              <w:rPr>
                <w:rFonts w:ascii="Cambria" w:hAnsi="Cambria"/>
              </w:rPr>
            </w:pPr>
            <w:r w:rsidRPr="00D616F4">
              <w:rPr>
                <w:rFonts w:ascii="Cambria" w:hAnsi="Cambria"/>
              </w:rPr>
              <w:t>11,200</w:t>
            </w:r>
          </w:p>
        </w:tc>
        <w:tc>
          <w:tcPr>
            <w:tcW w:w="1915" w:type="dxa"/>
            <w:tcBorders>
              <w:left w:val="nil"/>
              <w:bottom w:val="nil"/>
              <w:right w:val="nil"/>
            </w:tcBorders>
          </w:tcPr>
          <w:p w14:paraId="74343B21" w14:textId="77777777" w:rsidR="000B0DEC" w:rsidRPr="00D616F4" w:rsidRDefault="000B0DEC" w:rsidP="004C3A11">
            <w:pPr>
              <w:tabs>
                <w:tab w:val="decimal" w:pos="940"/>
              </w:tabs>
              <w:jc w:val="both"/>
              <w:rPr>
                <w:rFonts w:ascii="Cambria" w:hAnsi="Cambria"/>
              </w:rPr>
            </w:pPr>
            <w:r w:rsidRPr="00D616F4">
              <w:rPr>
                <w:rFonts w:ascii="Cambria" w:hAnsi="Cambria"/>
              </w:rPr>
              <w:t>94.8</w:t>
            </w:r>
          </w:p>
        </w:tc>
        <w:tc>
          <w:tcPr>
            <w:tcW w:w="2272" w:type="dxa"/>
            <w:tcBorders>
              <w:left w:val="nil"/>
              <w:bottom w:val="nil"/>
              <w:right w:val="nil"/>
            </w:tcBorders>
          </w:tcPr>
          <w:p w14:paraId="12CD5D39" w14:textId="77777777" w:rsidR="000B0DEC" w:rsidRPr="00D616F4" w:rsidRDefault="000F0C30" w:rsidP="004C3A11">
            <w:pPr>
              <w:tabs>
                <w:tab w:val="decimal" w:pos="915"/>
              </w:tabs>
              <w:jc w:val="both"/>
              <w:rPr>
                <w:rFonts w:ascii="Cambria" w:hAnsi="Cambria"/>
              </w:rPr>
            </w:pPr>
            <w:r w:rsidRPr="00D616F4">
              <w:rPr>
                <w:rFonts w:ascii="Cambria" w:hAnsi="Cambria"/>
              </w:rPr>
              <w:t>94.9</w:t>
            </w:r>
          </w:p>
        </w:tc>
      </w:tr>
      <w:tr w:rsidR="000B0DEC" w:rsidRPr="00D616F4" w14:paraId="0767B411" w14:textId="77777777" w:rsidTr="000B0DEC">
        <w:tc>
          <w:tcPr>
            <w:tcW w:w="2358" w:type="dxa"/>
            <w:tcBorders>
              <w:top w:val="nil"/>
              <w:left w:val="nil"/>
              <w:bottom w:val="nil"/>
              <w:right w:val="nil"/>
            </w:tcBorders>
          </w:tcPr>
          <w:p w14:paraId="5DD7DCE2" w14:textId="77777777" w:rsidR="000B0DEC" w:rsidRPr="00D616F4" w:rsidRDefault="000B0DEC" w:rsidP="004C3A11">
            <w:pPr>
              <w:jc w:val="both"/>
              <w:rPr>
                <w:rFonts w:ascii="Cambria" w:hAnsi="Cambria"/>
              </w:rPr>
            </w:pPr>
            <w:r w:rsidRPr="00D616F4">
              <w:rPr>
                <w:rFonts w:ascii="Cambria" w:hAnsi="Cambria"/>
              </w:rPr>
              <w:t>April Placements</w:t>
            </w:r>
          </w:p>
        </w:tc>
        <w:tc>
          <w:tcPr>
            <w:tcW w:w="1915" w:type="dxa"/>
            <w:tcBorders>
              <w:top w:val="nil"/>
              <w:left w:val="nil"/>
              <w:bottom w:val="nil"/>
              <w:right w:val="nil"/>
            </w:tcBorders>
          </w:tcPr>
          <w:p w14:paraId="3D41A2BE" w14:textId="77777777" w:rsidR="000B0DEC" w:rsidRPr="00D616F4" w:rsidRDefault="000B0DEC" w:rsidP="004C3A11">
            <w:pPr>
              <w:jc w:val="center"/>
              <w:rPr>
                <w:rFonts w:ascii="Cambria" w:hAnsi="Cambria"/>
              </w:rPr>
            </w:pPr>
            <w:r w:rsidRPr="00D616F4">
              <w:rPr>
                <w:rFonts w:ascii="Cambria" w:hAnsi="Cambria"/>
              </w:rPr>
              <w:t>1,432</w:t>
            </w:r>
          </w:p>
        </w:tc>
        <w:tc>
          <w:tcPr>
            <w:tcW w:w="1915" w:type="dxa"/>
            <w:tcBorders>
              <w:top w:val="nil"/>
              <w:left w:val="nil"/>
              <w:bottom w:val="nil"/>
              <w:right w:val="nil"/>
            </w:tcBorders>
          </w:tcPr>
          <w:p w14:paraId="1A0D284B" w14:textId="77777777" w:rsidR="000B0DEC" w:rsidRPr="00D616F4" w:rsidRDefault="000B0DEC" w:rsidP="004C3A11">
            <w:pPr>
              <w:tabs>
                <w:tab w:val="decimal" w:pos="940"/>
              </w:tabs>
              <w:jc w:val="both"/>
              <w:rPr>
                <w:rFonts w:ascii="Cambria" w:hAnsi="Cambria"/>
              </w:rPr>
            </w:pPr>
            <w:r w:rsidRPr="00D616F4">
              <w:rPr>
                <w:rFonts w:ascii="Cambria" w:hAnsi="Cambria"/>
              </w:rPr>
              <w:t>77.7</w:t>
            </w:r>
          </w:p>
        </w:tc>
        <w:tc>
          <w:tcPr>
            <w:tcW w:w="2272" w:type="dxa"/>
            <w:tcBorders>
              <w:top w:val="nil"/>
              <w:left w:val="nil"/>
              <w:bottom w:val="nil"/>
              <w:right w:val="nil"/>
            </w:tcBorders>
          </w:tcPr>
          <w:p w14:paraId="05CF93DA" w14:textId="77777777" w:rsidR="000B0DEC" w:rsidRPr="00D616F4" w:rsidRDefault="000F0C30" w:rsidP="004C3A11">
            <w:pPr>
              <w:tabs>
                <w:tab w:val="decimal" w:pos="915"/>
              </w:tabs>
              <w:jc w:val="both"/>
              <w:rPr>
                <w:rFonts w:ascii="Cambria" w:hAnsi="Cambria"/>
              </w:rPr>
            </w:pPr>
            <w:r w:rsidRPr="00D616F4">
              <w:rPr>
                <w:rFonts w:ascii="Cambria" w:hAnsi="Cambria"/>
              </w:rPr>
              <w:t>77.3</w:t>
            </w:r>
          </w:p>
        </w:tc>
      </w:tr>
      <w:tr w:rsidR="000B0DEC" w:rsidRPr="00D616F4" w14:paraId="7EA0DA39" w14:textId="77777777" w:rsidTr="000B0DEC">
        <w:trPr>
          <w:trHeight w:val="252"/>
        </w:trPr>
        <w:tc>
          <w:tcPr>
            <w:tcW w:w="2358" w:type="dxa"/>
            <w:tcBorders>
              <w:top w:val="nil"/>
              <w:left w:val="nil"/>
              <w:bottom w:val="single" w:sz="4" w:space="0" w:color="auto"/>
              <w:right w:val="nil"/>
            </w:tcBorders>
          </w:tcPr>
          <w:p w14:paraId="3073A78D" w14:textId="77777777" w:rsidR="000B0DEC" w:rsidRPr="00D616F4" w:rsidRDefault="000B0DEC" w:rsidP="004C3A11">
            <w:pPr>
              <w:jc w:val="both"/>
              <w:rPr>
                <w:rFonts w:ascii="Cambria" w:hAnsi="Cambria"/>
              </w:rPr>
            </w:pPr>
            <w:r w:rsidRPr="00D616F4">
              <w:rPr>
                <w:rFonts w:ascii="Cambria" w:hAnsi="Cambria"/>
              </w:rPr>
              <w:t>April Marketings</w:t>
            </w:r>
          </w:p>
        </w:tc>
        <w:tc>
          <w:tcPr>
            <w:tcW w:w="1915" w:type="dxa"/>
            <w:tcBorders>
              <w:top w:val="nil"/>
              <w:left w:val="nil"/>
              <w:bottom w:val="single" w:sz="4" w:space="0" w:color="auto"/>
              <w:right w:val="nil"/>
            </w:tcBorders>
          </w:tcPr>
          <w:p w14:paraId="5FEF889D" w14:textId="77777777" w:rsidR="000B0DEC" w:rsidRPr="00D616F4" w:rsidRDefault="000B0DEC" w:rsidP="004C3A11">
            <w:pPr>
              <w:jc w:val="center"/>
              <w:rPr>
                <w:rFonts w:ascii="Cambria" w:hAnsi="Cambria"/>
              </w:rPr>
            </w:pPr>
            <w:r w:rsidRPr="00D616F4">
              <w:rPr>
                <w:rFonts w:ascii="Cambria" w:hAnsi="Cambria"/>
              </w:rPr>
              <w:t>1,459</w:t>
            </w:r>
          </w:p>
        </w:tc>
        <w:tc>
          <w:tcPr>
            <w:tcW w:w="1915" w:type="dxa"/>
            <w:tcBorders>
              <w:top w:val="nil"/>
              <w:left w:val="nil"/>
              <w:bottom w:val="single" w:sz="4" w:space="0" w:color="auto"/>
              <w:right w:val="nil"/>
            </w:tcBorders>
          </w:tcPr>
          <w:p w14:paraId="0358D850" w14:textId="77777777" w:rsidR="000B0DEC" w:rsidRPr="00D616F4" w:rsidRDefault="000B0DEC" w:rsidP="004C3A11">
            <w:pPr>
              <w:tabs>
                <w:tab w:val="decimal" w:pos="940"/>
              </w:tabs>
              <w:jc w:val="both"/>
              <w:rPr>
                <w:rFonts w:ascii="Cambria" w:hAnsi="Cambria"/>
              </w:rPr>
            </w:pPr>
            <w:r w:rsidRPr="00D616F4">
              <w:rPr>
                <w:rFonts w:ascii="Cambria" w:hAnsi="Cambria"/>
              </w:rPr>
              <w:t>75.7</w:t>
            </w:r>
          </w:p>
        </w:tc>
        <w:tc>
          <w:tcPr>
            <w:tcW w:w="2272" w:type="dxa"/>
            <w:tcBorders>
              <w:top w:val="nil"/>
              <w:left w:val="nil"/>
              <w:bottom w:val="single" w:sz="4" w:space="0" w:color="auto"/>
              <w:right w:val="nil"/>
            </w:tcBorders>
          </w:tcPr>
          <w:p w14:paraId="026F3069" w14:textId="77777777" w:rsidR="000B0DEC" w:rsidRPr="00D616F4" w:rsidRDefault="000F0C30" w:rsidP="004C3A11">
            <w:pPr>
              <w:tabs>
                <w:tab w:val="decimal" w:pos="915"/>
              </w:tabs>
              <w:jc w:val="both"/>
              <w:rPr>
                <w:rFonts w:ascii="Cambria" w:hAnsi="Cambria"/>
              </w:rPr>
            </w:pPr>
            <w:r w:rsidRPr="00D616F4">
              <w:rPr>
                <w:rFonts w:ascii="Cambria" w:hAnsi="Cambria"/>
              </w:rPr>
              <w:t>75.0</w:t>
            </w:r>
          </w:p>
        </w:tc>
      </w:tr>
      <w:tr w:rsidR="000B0DEC" w:rsidRPr="00D616F4" w14:paraId="760FD2A9" w14:textId="77777777" w:rsidTr="000B0DEC">
        <w:trPr>
          <w:trHeight w:val="360"/>
        </w:trPr>
        <w:tc>
          <w:tcPr>
            <w:tcW w:w="8460" w:type="dxa"/>
            <w:gridSpan w:val="4"/>
            <w:tcBorders>
              <w:top w:val="single" w:sz="4" w:space="0" w:color="auto"/>
              <w:left w:val="nil"/>
              <w:bottom w:val="nil"/>
              <w:right w:val="nil"/>
            </w:tcBorders>
            <w:vAlign w:val="bottom"/>
          </w:tcPr>
          <w:p w14:paraId="7BE0B1BE" w14:textId="77777777" w:rsidR="000B0DEC" w:rsidRPr="00D616F4" w:rsidRDefault="000B0DEC" w:rsidP="000B0DEC">
            <w:pPr>
              <w:rPr>
                <w:rFonts w:ascii="Cambria" w:hAnsi="Cambria"/>
                <w:sz w:val="20"/>
                <w:szCs w:val="20"/>
              </w:rPr>
            </w:pPr>
            <w:r w:rsidRPr="00D616F4">
              <w:rPr>
                <w:rFonts w:ascii="Cambria" w:hAnsi="Cambria"/>
                <w:sz w:val="20"/>
                <w:szCs w:val="20"/>
              </w:rPr>
              <w:t>*Source: Livestock Marketing Information Center.</w:t>
            </w:r>
          </w:p>
        </w:tc>
      </w:tr>
    </w:tbl>
    <w:p w14:paraId="58119B59" w14:textId="77777777" w:rsidR="000B0DEC" w:rsidRPr="00D616F4" w:rsidRDefault="000B0DEC" w:rsidP="00605F21">
      <w:pPr>
        <w:spacing w:after="0"/>
        <w:rPr>
          <w:rFonts w:ascii="Cambria" w:hAnsi="Cambria"/>
        </w:rPr>
      </w:pPr>
    </w:p>
    <w:p w14:paraId="36818C36" w14:textId="77777777" w:rsidR="000F0C30" w:rsidRPr="00D616F4" w:rsidRDefault="000B0DEC" w:rsidP="000B0DEC">
      <w:pPr>
        <w:rPr>
          <w:rFonts w:ascii="Cambria" w:hAnsi="Cambria"/>
        </w:rPr>
      </w:pPr>
      <w:r w:rsidRPr="00D616F4">
        <w:rPr>
          <w:rFonts w:ascii="Cambria" w:hAnsi="Cambria"/>
        </w:rPr>
        <w:t xml:space="preserve">April placements were the second lowest April figure since this series began in 1996.  Marketings were the lowest for April over that same time period.  </w:t>
      </w:r>
      <w:r w:rsidR="000F0C30" w:rsidRPr="00D616F4">
        <w:rPr>
          <w:rFonts w:ascii="Cambria" w:hAnsi="Cambria"/>
        </w:rPr>
        <w:t>The decline in marketings mostly reflects the difficulty that packers were having getting cattle processed in April.  There certainly was not a 25 percent decline in market ready cattle.  In fact, it is interesting to look at the April marketing figure as a percent of the estimated number of cattle on feed for more than 150 days.  This is shown in figure 3 below.</w:t>
      </w:r>
    </w:p>
    <w:p w14:paraId="22ECB628" w14:textId="77777777" w:rsidR="000F0C30" w:rsidRPr="00D616F4" w:rsidRDefault="000F0C30" w:rsidP="000B0DEC">
      <w:pPr>
        <w:rPr>
          <w:rFonts w:ascii="Cambria" w:hAnsi="Cambria"/>
        </w:rPr>
      </w:pPr>
      <w:r w:rsidRPr="00D616F4">
        <w:rPr>
          <w:rFonts w:ascii="Cambria" w:hAnsi="Cambria"/>
          <w:noProof/>
        </w:rPr>
        <w:drawing>
          <wp:inline distT="0" distB="0" distL="0" distR="0" wp14:anchorId="456E0ED7" wp14:editId="611FFD39">
            <wp:extent cx="4819650" cy="2419350"/>
            <wp:effectExtent l="0" t="0" r="0" b="0"/>
            <wp:docPr id="8" name="Chart 8">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E14DB65" w14:textId="77777777" w:rsidR="000F0C30" w:rsidRPr="00D616F4" w:rsidRDefault="000F0C30" w:rsidP="000F0C30">
      <w:pPr>
        <w:spacing w:after="0"/>
        <w:rPr>
          <w:rFonts w:ascii="Cambria" w:hAnsi="Cambria"/>
          <w:sz w:val="18"/>
          <w:szCs w:val="18"/>
        </w:rPr>
      </w:pPr>
      <w:r w:rsidRPr="00D616F4">
        <w:rPr>
          <w:rFonts w:ascii="Cambria" w:hAnsi="Cambria"/>
          <w:sz w:val="18"/>
          <w:szCs w:val="18"/>
        </w:rPr>
        <w:t>Data Source: USDA National Agricultural Statistics Service through Livestock Marketing Information Center.</w:t>
      </w:r>
    </w:p>
    <w:p w14:paraId="31319ABE" w14:textId="77777777" w:rsidR="000F0C30" w:rsidRPr="00D616F4" w:rsidRDefault="000F0C30" w:rsidP="000B0DEC">
      <w:pPr>
        <w:rPr>
          <w:rFonts w:ascii="Cambria" w:hAnsi="Cambria"/>
        </w:rPr>
      </w:pPr>
      <w:r w:rsidRPr="00D616F4">
        <w:rPr>
          <w:rFonts w:ascii="Cambria" w:hAnsi="Cambria"/>
          <w:b/>
        </w:rPr>
        <w:t>Figure 3.</w:t>
      </w:r>
      <w:r w:rsidRPr="00D616F4">
        <w:rPr>
          <w:rFonts w:ascii="Cambria" w:hAnsi="Cambria"/>
        </w:rPr>
        <w:t xml:space="preserve">  April Fed Cattle Marketings at a Percent of Cattle on Feed for 150+ Days</w:t>
      </w:r>
    </w:p>
    <w:p w14:paraId="570A37F9" w14:textId="77777777" w:rsidR="000F0C30" w:rsidRPr="00D616F4" w:rsidRDefault="000F0C30" w:rsidP="000B0DEC">
      <w:pPr>
        <w:rPr>
          <w:rFonts w:ascii="Cambria" w:hAnsi="Cambria"/>
        </w:rPr>
      </w:pPr>
      <w:r w:rsidRPr="00D616F4">
        <w:rPr>
          <w:rFonts w:ascii="Cambria" w:hAnsi="Cambria"/>
        </w:rPr>
        <w:t>Typically, pretty much all of the cattle that have been on feed for 150 days will be marketed in a given month.  Often marketings are higher than the inventory of cattle that have been fed for 150 days, meaning that buys are purchasing a significant number of cattle that have been fed for a shorter time period.  Last month, only about 60 percent of these long-fed cattle were marketed, indicating the magnitude of the processing plant slowdown.  This backlog of cattle will keep pressure on cattle prices for some time to come.</w:t>
      </w:r>
    </w:p>
    <w:p w14:paraId="3E123A34" w14:textId="77777777" w:rsidR="000832BF" w:rsidRPr="00D616F4" w:rsidRDefault="007E72B6" w:rsidP="00865D82">
      <w:pPr>
        <w:rPr>
          <w:rFonts w:ascii="Cambria" w:hAnsi="Cambria"/>
          <w:b/>
        </w:rPr>
      </w:pPr>
      <w:r w:rsidRPr="00D616F4">
        <w:rPr>
          <w:rFonts w:ascii="Cambria" w:hAnsi="Cambria"/>
          <w:b/>
        </w:rPr>
        <w:t>Coronavirus Food Assistance Program</w:t>
      </w:r>
    </w:p>
    <w:p w14:paraId="5C4FA233" w14:textId="77777777" w:rsidR="007E72B6" w:rsidRPr="00D616F4" w:rsidRDefault="007E72B6" w:rsidP="00865D82">
      <w:pPr>
        <w:rPr>
          <w:rFonts w:ascii="Cambria" w:hAnsi="Cambria"/>
        </w:rPr>
      </w:pPr>
      <w:r w:rsidRPr="00D616F4">
        <w:rPr>
          <w:rFonts w:ascii="Cambria" w:hAnsi="Cambria"/>
        </w:rPr>
        <w:t xml:space="preserve">Details of the Coronavirus Food Assistance Program (CFAP), a relief program for agricultural producers to address losses related to COVID-19, were released last week. Applications for support </w:t>
      </w:r>
      <w:r w:rsidRPr="00D616F4">
        <w:rPr>
          <w:rFonts w:ascii="Cambria" w:hAnsi="Cambria"/>
        </w:rPr>
        <w:lastRenderedPageBreak/>
        <w:t>under this program will begin being accepted at USDA F</w:t>
      </w:r>
      <w:r w:rsidR="00104D2F" w:rsidRPr="00D616F4">
        <w:rPr>
          <w:rFonts w:ascii="Cambria" w:hAnsi="Cambria"/>
        </w:rPr>
        <w:t xml:space="preserve">arm Service Administration offices on May 26.  </w:t>
      </w:r>
      <w:r w:rsidRPr="00D616F4">
        <w:rPr>
          <w:rFonts w:ascii="Cambria" w:hAnsi="Cambria"/>
        </w:rPr>
        <w:t xml:space="preserve">The program includes significant support for cattle and hog producers.  </w:t>
      </w:r>
    </w:p>
    <w:p w14:paraId="760E590A" w14:textId="77777777" w:rsidR="00104D2F" w:rsidRPr="00D616F4" w:rsidRDefault="00104D2F" w:rsidP="00865D82">
      <w:pPr>
        <w:rPr>
          <w:rFonts w:ascii="Cambria" w:hAnsi="Cambria"/>
        </w:rPr>
      </w:pPr>
      <w:r w:rsidRPr="00D616F4">
        <w:rPr>
          <w:rFonts w:ascii="Cambria" w:hAnsi="Cambria"/>
        </w:rPr>
        <w:t xml:space="preserve">For cattle, CFAP includes two types of payments on four five classes of cattle.  The payments are for 1) cattle marketing between January 15 and April 15 and 2) the highest inventory of livestock owned between April 16 and May 14.  That is, the program provides a payment to address the loss in realized income on cattle sold and also the lost value on cattle owned.  The five classes of cattle are 1) feeder cattle &lt; 600 pounds, 2) feeder cattle &gt;600 pounds, 3) slaughter cattle – fed cattle, 4) slaughter cattle – mature cattle, and 5) all other cattle (excluding cattle used for dairy production).  </w:t>
      </w:r>
    </w:p>
    <w:p w14:paraId="1F7ABEA9" w14:textId="77777777" w:rsidR="00104D2F" w:rsidRPr="00D616F4" w:rsidRDefault="00104D2F" w:rsidP="00865D82">
      <w:pPr>
        <w:rPr>
          <w:rFonts w:ascii="Cambria" w:hAnsi="Cambria"/>
        </w:rPr>
      </w:pPr>
      <w:r w:rsidRPr="00D616F4">
        <w:rPr>
          <w:rFonts w:ascii="Cambria" w:hAnsi="Cambria"/>
        </w:rPr>
        <w:t xml:space="preserve">For hogs, the arrangement of payments is similar: one payment for lost revenue, another for lost inventory value.  Two classes of hogs are specified: pigs &lt; 120 pounds and hogs &gt; 120 pounds.  </w:t>
      </w:r>
    </w:p>
    <w:p w14:paraId="42F10DC5" w14:textId="77777777" w:rsidR="00104D2F" w:rsidRPr="00D616F4" w:rsidRDefault="00104D2F" w:rsidP="00865D82">
      <w:pPr>
        <w:rPr>
          <w:rFonts w:ascii="Cambria" w:hAnsi="Cambria"/>
        </w:rPr>
      </w:pPr>
      <w:r w:rsidRPr="00D616F4">
        <w:rPr>
          <w:rFonts w:ascii="Cambria" w:hAnsi="Cambria"/>
        </w:rPr>
        <w:t>Payment rates under the program are summarized in table 2 below.</w:t>
      </w:r>
    </w:p>
    <w:p w14:paraId="34AA1722" w14:textId="77777777" w:rsidR="00104D2F" w:rsidRPr="00D616F4" w:rsidRDefault="00104D2F" w:rsidP="00865D82">
      <w:pPr>
        <w:rPr>
          <w:rFonts w:ascii="Cambria" w:hAnsi="Cambria"/>
        </w:rPr>
      </w:pPr>
      <w:r w:rsidRPr="00D616F4">
        <w:rPr>
          <w:rFonts w:ascii="Cambria" w:hAnsi="Cambria"/>
          <w:b/>
        </w:rPr>
        <w:t>Table 2.</w:t>
      </w:r>
      <w:r w:rsidRPr="00D616F4">
        <w:rPr>
          <w:rFonts w:ascii="Cambria" w:hAnsi="Cambria"/>
        </w:rPr>
        <w:t xml:space="preserve"> Livestock Classes and Payment Rates under Coronavirus Food Assistance Program</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2380"/>
        <w:gridCol w:w="1295"/>
        <w:gridCol w:w="2204"/>
        <w:gridCol w:w="1839"/>
      </w:tblGrid>
      <w:tr w:rsidR="00104D2F" w:rsidRPr="00D616F4" w14:paraId="65EB27C6" w14:textId="77777777" w:rsidTr="00104D2F">
        <w:trPr>
          <w:tblHeader/>
          <w:tblCellSpacing w:w="15" w:type="dxa"/>
        </w:trPr>
        <w:tc>
          <w:tcPr>
            <w:tcW w:w="0" w:type="auto"/>
            <w:vAlign w:val="center"/>
            <w:hideMark/>
          </w:tcPr>
          <w:p w14:paraId="7C4641A6"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Livestock</w:t>
            </w:r>
          </w:p>
        </w:tc>
        <w:tc>
          <w:tcPr>
            <w:tcW w:w="0" w:type="auto"/>
            <w:vAlign w:val="center"/>
            <w:hideMark/>
          </w:tcPr>
          <w:p w14:paraId="2E517664"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Eligible Livestock</w:t>
            </w:r>
          </w:p>
        </w:tc>
        <w:tc>
          <w:tcPr>
            <w:tcW w:w="0" w:type="auto"/>
            <w:vAlign w:val="center"/>
            <w:hideMark/>
          </w:tcPr>
          <w:p w14:paraId="0637A230"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Unit of Measure</w:t>
            </w:r>
          </w:p>
        </w:tc>
        <w:tc>
          <w:tcPr>
            <w:tcW w:w="0" w:type="auto"/>
            <w:vAlign w:val="center"/>
            <w:hideMark/>
          </w:tcPr>
          <w:p w14:paraId="1F55C655"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CARES Act Part 1 Payment Rate</w:t>
            </w:r>
          </w:p>
        </w:tc>
        <w:tc>
          <w:tcPr>
            <w:tcW w:w="0" w:type="auto"/>
            <w:vAlign w:val="center"/>
            <w:hideMark/>
          </w:tcPr>
          <w:p w14:paraId="38A67BE1"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CCC Part 2 Payment Rate</w:t>
            </w:r>
          </w:p>
        </w:tc>
      </w:tr>
      <w:tr w:rsidR="00104D2F" w:rsidRPr="00D616F4" w14:paraId="1D542393" w14:textId="77777777" w:rsidTr="00104D2F">
        <w:trPr>
          <w:tblCellSpacing w:w="15" w:type="dxa"/>
        </w:trPr>
        <w:tc>
          <w:tcPr>
            <w:tcW w:w="0" w:type="auto"/>
            <w:vAlign w:val="center"/>
            <w:hideMark/>
          </w:tcPr>
          <w:p w14:paraId="0961CA3F"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Cattle</w:t>
            </w:r>
          </w:p>
        </w:tc>
        <w:tc>
          <w:tcPr>
            <w:tcW w:w="0" w:type="auto"/>
            <w:vAlign w:val="center"/>
            <w:hideMark/>
          </w:tcPr>
          <w:p w14:paraId="07989B45"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Feeder Cattle: Less than 600 Pounds</w:t>
            </w:r>
          </w:p>
        </w:tc>
        <w:tc>
          <w:tcPr>
            <w:tcW w:w="0" w:type="auto"/>
            <w:vAlign w:val="center"/>
            <w:hideMark/>
          </w:tcPr>
          <w:p w14:paraId="04896B61"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Head</w:t>
            </w:r>
          </w:p>
        </w:tc>
        <w:tc>
          <w:tcPr>
            <w:tcW w:w="0" w:type="auto"/>
            <w:vAlign w:val="center"/>
            <w:hideMark/>
          </w:tcPr>
          <w:p w14:paraId="26E91C64"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$102.00</w:t>
            </w:r>
          </w:p>
        </w:tc>
        <w:tc>
          <w:tcPr>
            <w:tcW w:w="0" w:type="auto"/>
            <w:vAlign w:val="center"/>
            <w:hideMark/>
          </w:tcPr>
          <w:p w14:paraId="57F2EBFD"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$33.00</w:t>
            </w:r>
          </w:p>
        </w:tc>
      </w:tr>
      <w:tr w:rsidR="00104D2F" w:rsidRPr="00D616F4" w14:paraId="3CF06E83" w14:textId="77777777" w:rsidTr="00104D2F">
        <w:trPr>
          <w:tblCellSpacing w:w="15" w:type="dxa"/>
        </w:trPr>
        <w:tc>
          <w:tcPr>
            <w:tcW w:w="0" w:type="auto"/>
            <w:vAlign w:val="center"/>
            <w:hideMark/>
          </w:tcPr>
          <w:p w14:paraId="3FE59000"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 </w:t>
            </w:r>
          </w:p>
        </w:tc>
        <w:tc>
          <w:tcPr>
            <w:tcW w:w="0" w:type="auto"/>
            <w:vAlign w:val="center"/>
            <w:hideMark/>
          </w:tcPr>
          <w:p w14:paraId="64D2226B"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Feeder Cattle: 600 Pounds or More</w:t>
            </w:r>
          </w:p>
        </w:tc>
        <w:tc>
          <w:tcPr>
            <w:tcW w:w="0" w:type="auto"/>
            <w:vAlign w:val="center"/>
            <w:hideMark/>
          </w:tcPr>
          <w:p w14:paraId="6C7F5B94"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Head</w:t>
            </w:r>
          </w:p>
        </w:tc>
        <w:tc>
          <w:tcPr>
            <w:tcW w:w="0" w:type="auto"/>
            <w:vAlign w:val="center"/>
            <w:hideMark/>
          </w:tcPr>
          <w:p w14:paraId="6CE92E81"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$139.00</w:t>
            </w:r>
          </w:p>
        </w:tc>
        <w:tc>
          <w:tcPr>
            <w:tcW w:w="0" w:type="auto"/>
            <w:vAlign w:val="center"/>
            <w:hideMark/>
          </w:tcPr>
          <w:p w14:paraId="48AA00E0"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$33.00</w:t>
            </w:r>
          </w:p>
        </w:tc>
      </w:tr>
      <w:tr w:rsidR="00104D2F" w:rsidRPr="00D616F4" w14:paraId="28DA879E" w14:textId="77777777" w:rsidTr="00104D2F">
        <w:trPr>
          <w:tblCellSpacing w:w="15" w:type="dxa"/>
        </w:trPr>
        <w:tc>
          <w:tcPr>
            <w:tcW w:w="0" w:type="auto"/>
            <w:vAlign w:val="center"/>
            <w:hideMark/>
          </w:tcPr>
          <w:p w14:paraId="6ECC68F6"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 </w:t>
            </w:r>
          </w:p>
        </w:tc>
        <w:tc>
          <w:tcPr>
            <w:tcW w:w="0" w:type="auto"/>
            <w:vAlign w:val="center"/>
            <w:hideMark/>
          </w:tcPr>
          <w:p w14:paraId="32E3893F"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Slaughter Cattle: Fed Cattle</w:t>
            </w:r>
          </w:p>
        </w:tc>
        <w:tc>
          <w:tcPr>
            <w:tcW w:w="0" w:type="auto"/>
            <w:vAlign w:val="center"/>
            <w:hideMark/>
          </w:tcPr>
          <w:p w14:paraId="5E1514AB"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Head</w:t>
            </w:r>
          </w:p>
        </w:tc>
        <w:tc>
          <w:tcPr>
            <w:tcW w:w="0" w:type="auto"/>
            <w:vAlign w:val="center"/>
            <w:hideMark/>
          </w:tcPr>
          <w:p w14:paraId="69C6DBB4"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$214.00</w:t>
            </w:r>
          </w:p>
        </w:tc>
        <w:tc>
          <w:tcPr>
            <w:tcW w:w="0" w:type="auto"/>
            <w:vAlign w:val="center"/>
            <w:hideMark/>
          </w:tcPr>
          <w:p w14:paraId="0CE784B3"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$33.00</w:t>
            </w:r>
          </w:p>
        </w:tc>
      </w:tr>
      <w:tr w:rsidR="00104D2F" w:rsidRPr="00D616F4" w14:paraId="4458A22C" w14:textId="77777777" w:rsidTr="00104D2F">
        <w:trPr>
          <w:tblCellSpacing w:w="15" w:type="dxa"/>
        </w:trPr>
        <w:tc>
          <w:tcPr>
            <w:tcW w:w="0" w:type="auto"/>
            <w:vAlign w:val="center"/>
            <w:hideMark/>
          </w:tcPr>
          <w:p w14:paraId="629181E7"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 </w:t>
            </w:r>
          </w:p>
        </w:tc>
        <w:tc>
          <w:tcPr>
            <w:tcW w:w="0" w:type="auto"/>
            <w:vAlign w:val="center"/>
            <w:hideMark/>
          </w:tcPr>
          <w:p w14:paraId="03315C07"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Slaughter Cattle: Mature Cattle</w:t>
            </w:r>
          </w:p>
        </w:tc>
        <w:tc>
          <w:tcPr>
            <w:tcW w:w="0" w:type="auto"/>
            <w:vAlign w:val="center"/>
            <w:hideMark/>
          </w:tcPr>
          <w:p w14:paraId="17A43B9B"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Head</w:t>
            </w:r>
          </w:p>
        </w:tc>
        <w:tc>
          <w:tcPr>
            <w:tcW w:w="0" w:type="auto"/>
            <w:vAlign w:val="center"/>
            <w:hideMark/>
          </w:tcPr>
          <w:p w14:paraId="128F7298"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$92.00</w:t>
            </w:r>
          </w:p>
        </w:tc>
        <w:tc>
          <w:tcPr>
            <w:tcW w:w="0" w:type="auto"/>
            <w:vAlign w:val="center"/>
            <w:hideMark/>
          </w:tcPr>
          <w:p w14:paraId="242BEE10"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$33.00</w:t>
            </w:r>
          </w:p>
        </w:tc>
      </w:tr>
      <w:tr w:rsidR="00104D2F" w:rsidRPr="00D616F4" w14:paraId="5EC44D65" w14:textId="77777777" w:rsidTr="00104D2F">
        <w:trPr>
          <w:tblCellSpacing w:w="15" w:type="dxa"/>
        </w:trPr>
        <w:tc>
          <w:tcPr>
            <w:tcW w:w="0" w:type="auto"/>
            <w:vAlign w:val="center"/>
            <w:hideMark/>
          </w:tcPr>
          <w:p w14:paraId="17523AF8"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 </w:t>
            </w:r>
          </w:p>
        </w:tc>
        <w:tc>
          <w:tcPr>
            <w:tcW w:w="0" w:type="auto"/>
            <w:vAlign w:val="center"/>
            <w:hideMark/>
          </w:tcPr>
          <w:p w14:paraId="48ACEC6C"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All Other Cattle</w:t>
            </w:r>
          </w:p>
        </w:tc>
        <w:tc>
          <w:tcPr>
            <w:tcW w:w="0" w:type="auto"/>
            <w:vAlign w:val="center"/>
            <w:hideMark/>
          </w:tcPr>
          <w:p w14:paraId="2CF6CB25"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Head</w:t>
            </w:r>
          </w:p>
        </w:tc>
        <w:tc>
          <w:tcPr>
            <w:tcW w:w="0" w:type="auto"/>
            <w:vAlign w:val="center"/>
            <w:hideMark/>
          </w:tcPr>
          <w:p w14:paraId="12DC111A"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$102.00</w:t>
            </w:r>
          </w:p>
        </w:tc>
        <w:tc>
          <w:tcPr>
            <w:tcW w:w="0" w:type="auto"/>
            <w:vAlign w:val="center"/>
            <w:hideMark/>
          </w:tcPr>
          <w:p w14:paraId="1F88D0F0"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$33.00</w:t>
            </w:r>
          </w:p>
        </w:tc>
      </w:tr>
      <w:tr w:rsidR="00104D2F" w:rsidRPr="00D616F4" w14:paraId="013C8977" w14:textId="77777777" w:rsidTr="00104D2F">
        <w:trPr>
          <w:tblCellSpacing w:w="15" w:type="dxa"/>
        </w:trPr>
        <w:tc>
          <w:tcPr>
            <w:tcW w:w="0" w:type="auto"/>
            <w:vAlign w:val="center"/>
            <w:hideMark/>
          </w:tcPr>
          <w:p w14:paraId="2BD9FD1A"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Hogs and Pigs</w:t>
            </w:r>
          </w:p>
        </w:tc>
        <w:tc>
          <w:tcPr>
            <w:tcW w:w="0" w:type="auto"/>
            <w:vAlign w:val="center"/>
            <w:hideMark/>
          </w:tcPr>
          <w:p w14:paraId="64CF8704"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Pigs: Less than 120 Pounds</w:t>
            </w:r>
          </w:p>
        </w:tc>
        <w:tc>
          <w:tcPr>
            <w:tcW w:w="0" w:type="auto"/>
            <w:vAlign w:val="center"/>
            <w:hideMark/>
          </w:tcPr>
          <w:p w14:paraId="087B839E"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Head</w:t>
            </w:r>
          </w:p>
        </w:tc>
        <w:tc>
          <w:tcPr>
            <w:tcW w:w="0" w:type="auto"/>
            <w:vAlign w:val="center"/>
            <w:hideMark/>
          </w:tcPr>
          <w:p w14:paraId="0574EBBD"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$28.00</w:t>
            </w:r>
          </w:p>
        </w:tc>
        <w:tc>
          <w:tcPr>
            <w:tcW w:w="0" w:type="auto"/>
            <w:vAlign w:val="center"/>
            <w:hideMark/>
          </w:tcPr>
          <w:p w14:paraId="718472FF"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$17.00</w:t>
            </w:r>
          </w:p>
        </w:tc>
      </w:tr>
      <w:tr w:rsidR="00104D2F" w:rsidRPr="00D616F4" w14:paraId="29A1CC07" w14:textId="77777777" w:rsidTr="00104D2F">
        <w:trPr>
          <w:tblCellSpacing w:w="15" w:type="dxa"/>
        </w:trPr>
        <w:tc>
          <w:tcPr>
            <w:tcW w:w="0" w:type="auto"/>
            <w:vAlign w:val="center"/>
            <w:hideMark/>
          </w:tcPr>
          <w:p w14:paraId="0A725235"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 </w:t>
            </w:r>
          </w:p>
        </w:tc>
        <w:tc>
          <w:tcPr>
            <w:tcW w:w="0" w:type="auto"/>
            <w:vAlign w:val="center"/>
            <w:hideMark/>
          </w:tcPr>
          <w:p w14:paraId="5EC862AA"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Hogs: 120 Pounds or More</w:t>
            </w:r>
          </w:p>
        </w:tc>
        <w:tc>
          <w:tcPr>
            <w:tcW w:w="0" w:type="auto"/>
            <w:vAlign w:val="center"/>
            <w:hideMark/>
          </w:tcPr>
          <w:p w14:paraId="487E0DEE"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Head</w:t>
            </w:r>
          </w:p>
        </w:tc>
        <w:tc>
          <w:tcPr>
            <w:tcW w:w="0" w:type="auto"/>
            <w:vAlign w:val="center"/>
            <w:hideMark/>
          </w:tcPr>
          <w:p w14:paraId="26E9307D"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$18.00</w:t>
            </w:r>
          </w:p>
        </w:tc>
        <w:tc>
          <w:tcPr>
            <w:tcW w:w="0" w:type="auto"/>
            <w:vAlign w:val="center"/>
            <w:hideMark/>
          </w:tcPr>
          <w:p w14:paraId="5AF5FAC2"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$17.00</w:t>
            </w:r>
          </w:p>
        </w:tc>
      </w:tr>
      <w:tr w:rsidR="00104D2F" w:rsidRPr="00D616F4" w14:paraId="0F2ACA80" w14:textId="77777777" w:rsidTr="00104D2F">
        <w:trPr>
          <w:tblCellSpacing w:w="15" w:type="dxa"/>
        </w:trPr>
        <w:tc>
          <w:tcPr>
            <w:tcW w:w="0" w:type="auto"/>
            <w:vAlign w:val="center"/>
            <w:hideMark/>
          </w:tcPr>
          <w:p w14:paraId="3F1D036E" w14:textId="77777777" w:rsidR="00104D2F" w:rsidRPr="00D616F4" w:rsidRDefault="00104D2F" w:rsidP="00104D2F">
            <w:pPr>
              <w:spacing w:after="0" w:line="240" w:lineRule="auto"/>
              <w:jc w:val="center"/>
              <w:rPr>
                <w:rFonts w:ascii="Cambria" w:eastAsia="Times New Roman" w:hAnsi="Cambria" w:cstheme="minorHAnsi"/>
                <w:b/>
                <w:bCs/>
                <w:sz w:val="20"/>
                <w:szCs w:val="20"/>
              </w:rPr>
            </w:pPr>
            <w:r w:rsidRPr="00D616F4">
              <w:rPr>
                <w:rFonts w:ascii="Cambria" w:eastAsia="Times New Roman" w:hAnsi="Cambria" w:cstheme="minorHAnsi"/>
                <w:b/>
                <w:bCs/>
                <w:sz w:val="20"/>
                <w:szCs w:val="20"/>
              </w:rPr>
              <w:t>Lambs and Yearlings</w:t>
            </w:r>
          </w:p>
        </w:tc>
        <w:tc>
          <w:tcPr>
            <w:tcW w:w="0" w:type="auto"/>
            <w:vAlign w:val="center"/>
            <w:hideMark/>
          </w:tcPr>
          <w:p w14:paraId="57197976"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All Sheep Less than 2 Years Old</w:t>
            </w:r>
          </w:p>
        </w:tc>
        <w:tc>
          <w:tcPr>
            <w:tcW w:w="0" w:type="auto"/>
            <w:vAlign w:val="center"/>
            <w:hideMark/>
          </w:tcPr>
          <w:p w14:paraId="0755904B"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Head</w:t>
            </w:r>
          </w:p>
        </w:tc>
        <w:tc>
          <w:tcPr>
            <w:tcW w:w="0" w:type="auto"/>
            <w:vAlign w:val="center"/>
            <w:hideMark/>
          </w:tcPr>
          <w:p w14:paraId="788D3A5A"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$33.00</w:t>
            </w:r>
          </w:p>
        </w:tc>
        <w:tc>
          <w:tcPr>
            <w:tcW w:w="0" w:type="auto"/>
            <w:vAlign w:val="center"/>
            <w:hideMark/>
          </w:tcPr>
          <w:p w14:paraId="5D0475DF" w14:textId="77777777" w:rsidR="00104D2F" w:rsidRPr="00D616F4" w:rsidRDefault="00104D2F" w:rsidP="00104D2F">
            <w:pPr>
              <w:spacing w:after="0" w:line="240" w:lineRule="auto"/>
              <w:rPr>
                <w:rFonts w:ascii="Cambria" w:eastAsia="Times New Roman" w:hAnsi="Cambria" w:cstheme="minorHAnsi"/>
                <w:sz w:val="20"/>
                <w:szCs w:val="20"/>
              </w:rPr>
            </w:pPr>
            <w:r w:rsidRPr="00D616F4">
              <w:rPr>
                <w:rFonts w:ascii="Cambria" w:eastAsia="Times New Roman" w:hAnsi="Cambria" w:cstheme="minorHAnsi"/>
                <w:sz w:val="20"/>
                <w:szCs w:val="20"/>
              </w:rPr>
              <w:t>$7.00</w:t>
            </w:r>
          </w:p>
        </w:tc>
      </w:tr>
    </w:tbl>
    <w:p w14:paraId="77A745D9" w14:textId="77777777" w:rsidR="00104D2F" w:rsidRPr="00D616F4" w:rsidRDefault="00104D2F" w:rsidP="00865D82">
      <w:pPr>
        <w:rPr>
          <w:rFonts w:ascii="Cambria" w:hAnsi="Cambria"/>
          <w:sz w:val="20"/>
          <w:szCs w:val="20"/>
        </w:rPr>
      </w:pPr>
      <w:r w:rsidRPr="00D616F4">
        <w:rPr>
          <w:rFonts w:ascii="Cambria" w:hAnsi="Cambria"/>
          <w:sz w:val="20"/>
          <w:szCs w:val="20"/>
        </w:rPr>
        <w:t xml:space="preserve">Source: USDA.  </w:t>
      </w:r>
      <w:hyperlink r:id="rId8" w:history="1">
        <w:r w:rsidRPr="00D616F4">
          <w:rPr>
            <w:rStyle w:val="Hyperlink"/>
            <w:rFonts w:ascii="Cambria" w:hAnsi="Cambria"/>
            <w:sz w:val="20"/>
            <w:szCs w:val="20"/>
          </w:rPr>
          <w:t>https://www.farmers.gov/cfap/livestock</w:t>
        </w:r>
      </w:hyperlink>
      <w:r w:rsidRPr="00D616F4">
        <w:rPr>
          <w:rFonts w:ascii="Cambria" w:hAnsi="Cambria"/>
          <w:sz w:val="20"/>
          <w:szCs w:val="20"/>
        </w:rPr>
        <w:t xml:space="preserve">. </w:t>
      </w:r>
    </w:p>
    <w:p w14:paraId="672F7C42" w14:textId="77777777" w:rsidR="00104D2F" w:rsidRPr="00D616F4" w:rsidRDefault="00104D2F" w:rsidP="00865D82">
      <w:pPr>
        <w:rPr>
          <w:rFonts w:ascii="Cambria" w:hAnsi="Cambria"/>
          <w:sz w:val="20"/>
          <w:szCs w:val="20"/>
        </w:rPr>
      </w:pPr>
    </w:p>
    <w:p w14:paraId="23BED582" w14:textId="77777777" w:rsidR="000832BF" w:rsidRPr="00D616F4" w:rsidRDefault="000832BF" w:rsidP="00865D82">
      <w:pPr>
        <w:rPr>
          <w:rFonts w:ascii="Cambria" w:hAnsi="Cambria"/>
        </w:rPr>
      </w:pPr>
    </w:p>
    <w:p w14:paraId="6B11946C" w14:textId="77777777" w:rsidR="000832BF" w:rsidRPr="00D616F4" w:rsidRDefault="000832BF" w:rsidP="00865D82">
      <w:pPr>
        <w:rPr>
          <w:rFonts w:ascii="Cambria" w:hAnsi="Cambria"/>
        </w:rPr>
      </w:pPr>
    </w:p>
    <w:p w14:paraId="1C77D5EB" w14:textId="77777777" w:rsidR="000832BF" w:rsidRPr="00D616F4" w:rsidRDefault="000832BF" w:rsidP="00865D82">
      <w:pPr>
        <w:rPr>
          <w:rFonts w:ascii="Cambria" w:hAnsi="Cambria"/>
        </w:rPr>
      </w:pPr>
    </w:p>
    <w:sectPr w:rsidR="000832BF" w:rsidRPr="00D61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225D6"/>
    <w:multiLevelType w:val="hybridMultilevel"/>
    <w:tmpl w:val="F4A2A752"/>
    <w:lvl w:ilvl="0" w:tplc="DAAA5E58">
      <w:start w:val="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832BF"/>
    <w:rsid w:val="000B0DEC"/>
    <w:rsid w:val="000B44B0"/>
    <w:rsid w:val="000C0A91"/>
    <w:rsid w:val="000F0C30"/>
    <w:rsid w:val="000F26EF"/>
    <w:rsid w:val="00104D2F"/>
    <w:rsid w:val="00154C52"/>
    <w:rsid w:val="0016274A"/>
    <w:rsid w:val="00165B26"/>
    <w:rsid w:val="001B0892"/>
    <w:rsid w:val="001D71B7"/>
    <w:rsid w:val="001D7BE1"/>
    <w:rsid w:val="00253CD0"/>
    <w:rsid w:val="00275746"/>
    <w:rsid w:val="0027667F"/>
    <w:rsid w:val="00280B58"/>
    <w:rsid w:val="002F3C19"/>
    <w:rsid w:val="002F57A8"/>
    <w:rsid w:val="00307E8B"/>
    <w:rsid w:val="00323F35"/>
    <w:rsid w:val="00333AF4"/>
    <w:rsid w:val="00334C7C"/>
    <w:rsid w:val="00362BA5"/>
    <w:rsid w:val="003A0A09"/>
    <w:rsid w:val="00481294"/>
    <w:rsid w:val="00486133"/>
    <w:rsid w:val="004A3E20"/>
    <w:rsid w:val="004B57FA"/>
    <w:rsid w:val="004B5A32"/>
    <w:rsid w:val="004C721C"/>
    <w:rsid w:val="004E5BA7"/>
    <w:rsid w:val="0054692A"/>
    <w:rsid w:val="005A3638"/>
    <w:rsid w:val="005B0E04"/>
    <w:rsid w:val="005C6CE2"/>
    <w:rsid w:val="005D17DA"/>
    <w:rsid w:val="00605F21"/>
    <w:rsid w:val="00612661"/>
    <w:rsid w:val="00671A66"/>
    <w:rsid w:val="00673DA9"/>
    <w:rsid w:val="006B4454"/>
    <w:rsid w:val="00777F8D"/>
    <w:rsid w:val="007D1E45"/>
    <w:rsid w:val="007E72B6"/>
    <w:rsid w:val="00802549"/>
    <w:rsid w:val="00865D82"/>
    <w:rsid w:val="008A0499"/>
    <w:rsid w:val="008A19BD"/>
    <w:rsid w:val="009539D3"/>
    <w:rsid w:val="00996B86"/>
    <w:rsid w:val="009A1BA5"/>
    <w:rsid w:val="009D0CB6"/>
    <w:rsid w:val="00A127C9"/>
    <w:rsid w:val="00A17B9A"/>
    <w:rsid w:val="00A5247D"/>
    <w:rsid w:val="00AA597D"/>
    <w:rsid w:val="00AD0836"/>
    <w:rsid w:val="00B153C2"/>
    <w:rsid w:val="00B65108"/>
    <w:rsid w:val="00B764A5"/>
    <w:rsid w:val="00B924CE"/>
    <w:rsid w:val="00BC6295"/>
    <w:rsid w:val="00C71B1A"/>
    <w:rsid w:val="00C8070B"/>
    <w:rsid w:val="00CF65DE"/>
    <w:rsid w:val="00D060FE"/>
    <w:rsid w:val="00D272E6"/>
    <w:rsid w:val="00D34782"/>
    <w:rsid w:val="00D616F4"/>
    <w:rsid w:val="00DE3101"/>
    <w:rsid w:val="00E05DAC"/>
    <w:rsid w:val="00E44BDB"/>
    <w:rsid w:val="00E450BE"/>
    <w:rsid w:val="00EF042E"/>
    <w:rsid w:val="00F101D4"/>
    <w:rsid w:val="00F66CE1"/>
    <w:rsid w:val="00F75582"/>
    <w:rsid w:val="00FF0C3E"/>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3A5C"/>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 w:type="table" w:styleId="TableGrid">
    <w:name w:val="Table Grid"/>
    <w:basedOn w:val="TableNormal"/>
    <w:uiPriority w:val="59"/>
    <w:rsid w:val="000B0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ers.gov/cfap/livestock" TargetMode="Externa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34400135466936"/>
          <c:y val="5.0925925925925923E-2"/>
          <c:w val="0.80378185589704509"/>
          <c:h val="0.62443668865716118"/>
        </c:manualLayout>
      </c:layout>
      <c:lineChart>
        <c:grouping val="standard"/>
        <c:varyColors val="0"/>
        <c:ser>
          <c:idx val="1"/>
          <c:order val="0"/>
          <c:tx>
            <c:strRef>
              <c:f>Sheet3!$C$3</c:f>
              <c:strCache>
                <c:ptCount val="1"/>
                <c:pt idx="0">
                  <c:v>Cattle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Sheet3!$B$57:$B$76</c:f>
              <c:numCache>
                <c:formatCode>General</c:formatCode>
                <c:ptCount val="20"/>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numCache>
            </c:numRef>
          </c:cat>
          <c:val>
            <c:numRef>
              <c:f>Sheet3!$G$57:$G$76</c:f>
              <c:numCache>
                <c:formatCode>General</c:formatCode>
                <c:ptCount val="20"/>
                <c:pt idx="0">
                  <c:v>1.0156067346862392</c:v>
                </c:pt>
                <c:pt idx="1">
                  <c:v>0.99993134368549019</c:v>
                </c:pt>
                <c:pt idx="2">
                  <c:v>1.0168262652568911</c:v>
                </c:pt>
                <c:pt idx="3">
                  <c:v>1.0072137736475433</c:v>
                </c:pt>
                <c:pt idx="4">
                  <c:v>0.99720477663245255</c:v>
                </c:pt>
                <c:pt idx="5">
                  <c:v>0.98153570444295046</c:v>
                </c:pt>
                <c:pt idx="6">
                  <c:v>0.98830789039681644</c:v>
                </c:pt>
                <c:pt idx="7">
                  <c:v>0.9925067404703819</c:v>
                </c:pt>
                <c:pt idx="8">
                  <c:v>1.0259964400789559</c:v>
                </c:pt>
                <c:pt idx="9">
                  <c:v>1.0120997944442094</c:v>
                </c:pt>
                <c:pt idx="10">
                  <c:v>1.0430667086624583</c:v>
                </c:pt>
                <c:pt idx="11">
                  <c:v>1.0818357750678178</c:v>
                </c:pt>
                <c:pt idx="12">
                  <c:v>0.99726480533929818</c:v>
                </c:pt>
                <c:pt idx="13">
                  <c:v>0.83535948446277208</c:v>
                </c:pt>
                <c:pt idx="14">
                  <c:v>0.79301081148604335</c:v>
                </c:pt>
                <c:pt idx="15">
                  <c:v>0.73456180745221145</c:v>
                </c:pt>
                <c:pt idx="16">
                  <c:v>0.67137369498320398</c:v>
                </c:pt>
                <c:pt idx="17">
                  <c:v>0.71402567089978408</c:v>
                </c:pt>
                <c:pt idx="18">
                  <c:v>0.7882717030508678</c:v>
                </c:pt>
                <c:pt idx="19">
                  <c:v>0.87673506050747818</c:v>
                </c:pt>
              </c:numCache>
            </c:numRef>
          </c:val>
          <c:smooth val="0"/>
          <c:extLst>
            <c:ext xmlns:c16="http://schemas.microsoft.com/office/drawing/2014/chart" uri="{C3380CC4-5D6E-409C-BE32-E72D297353CC}">
              <c16:uniqueId val="{00000000-35BA-46D4-A06D-308DE3108C1A}"/>
            </c:ext>
          </c:extLst>
        </c:ser>
        <c:ser>
          <c:idx val="0"/>
          <c:order val="1"/>
          <c:tx>
            <c:strRef>
              <c:f>Sheet3!$D$3</c:f>
              <c:strCache>
                <c:ptCount val="1"/>
                <c:pt idx="0">
                  <c:v>Hogs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Sheet3!$B$57:$B$76</c:f>
              <c:numCache>
                <c:formatCode>General</c:formatCode>
                <c:ptCount val="20"/>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numCache>
            </c:numRef>
          </c:cat>
          <c:val>
            <c:numRef>
              <c:f>Sheet3!$H$57:$H$76</c:f>
              <c:numCache>
                <c:formatCode>General</c:formatCode>
                <c:ptCount val="20"/>
                <c:pt idx="0">
                  <c:v>1.0888426058881624</c:v>
                </c:pt>
                <c:pt idx="1">
                  <c:v>1.0085894386442549</c:v>
                </c:pt>
                <c:pt idx="2">
                  <c:v>1.0938016127789856</c:v>
                </c:pt>
                <c:pt idx="3">
                  <c:v>1.0893819797026687</c:v>
                </c:pt>
                <c:pt idx="4">
                  <c:v>1.0796890080293973</c:v>
                </c:pt>
                <c:pt idx="5">
                  <c:v>1.0461391487164557</c:v>
                </c:pt>
                <c:pt idx="6">
                  <c:v>1.0551113392024021</c:v>
                </c:pt>
                <c:pt idx="7">
                  <c:v>1.0347807846361472</c:v>
                </c:pt>
                <c:pt idx="8">
                  <c:v>1.0826585941991502</c:v>
                </c:pt>
                <c:pt idx="9">
                  <c:v>1.0664038471540478</c:v>
                </c:pt>
                <c:pt idx="10">
                  <c:v>1.1307788189596841</c:v>
                </c:pt>
                <c:pt idx="11">
                  <c:v>1.1222522684118652</c:v>
                </c:pt>
                <c:pt idx="12">
                  <c:v>1.0393826331359415</c:v>
                </c:pt>
                <c:pt idx="13">
                  <c:v>0.96665726582602551</c:v>
                </c:pt>
                <c:pt idx="14">
                  <c:v>0.90824894008228219</c:v>
                </c:pt>
                <c:pt idx="15">
                  <c:v>0.80239430382714072</c:v>
                </c:pt>
                <c:pt idx="16">
                  <c:v>0.61937082969134272</c:v>
                </c:pt>
                <c:pt idx="17">
                  <c:v>0.7171449593621223</c:v>
                </c:pt>
                <c:pt idx="18">
                  <c:v>0.84764514069956765</c:v>
                </c:pt>
                <c:pt idx="19">
                  <c:v>0.86057395123454672</c:v>
                </c:pt>
              </c:numCache>
            </c:numRef>
          </c:val>
          <c:smooth val="0"/>
          <c:extLst>
            <c:ext xmlns:c16="http://schemas.microsoft.com/office/drawing/2014/chart" uri="{C3380CC4-5D6E-409C-BE32-E72D297353CC}">
              <c16:uniqueId val="{00000001-35BA-46D4-A06D-308DE3108C1A}"/>
            </c:ext>
          </c:extLst>
        </c:ser>
        <c:ser>
          <c:idx val="2"/>
          <c:order val="2"/>
          <c:tx>
            <c:strRef>
              <c:f>Sheet3!$E$3</c:f>
              <c:strCache>
                <c:ptCount val="1"/>
                <c:pt idx="0">
                  <c:v>Young Chicken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Sheet3!$B$57:$B$76</c:f>
              <c:numCache>
                <c:formatCode>General</c:formatCode>
                <c:ptCount val="20"/>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numCache>
            </c:numRef>
          </c:cat>
          <c:val>
            <c:numRef>
              <c:f>Sheet3!$I$57:$I$75</c:f>
              <c:numCache>
                <c:formatCode>General</c:formatCode>
                <c:ptCount val="19"/>
                <c:pt idx="0">
                  <c:v>1.0493345837205827</c:v>
                </c:pt>
                <c:pt idx="1">
                  <c:v>1.0578378697168282</c:v>
                </c:pt>
                <c:pt idx="2">
                  <c:v>1.0065151143239506</c:v>
                </c:pt>
                <c:pt idx="3">
                  <c:v>1.0423464948013588</c:v>
                </c:pt>
                <c:pt idx="4">
                  <c:v>1.0380675782558495</c:v>
                </c:pt>
                <c:pt idx="5">
                  <c:v>1.0362372201868075</c:v>
                </c:pt>
                <c:pt idx="6">
                  <c:v>1.0300673376891751</c:v>
                </c:pt>
                <c:pt idx="7">
                  <c:v>1.034873542817488</c:v>
                </c:pt>
                <c:pt idx="8">
                  <c:v>1.0319946683711467</c:v>
                </c:pt>
                <c:pt idx="9">
                  <c:v>1.0333947104703147</c:v>
                </c:pt>
                <c:pt idx="10">
                  <c:v>1.0405767446153975</c:v>
                </c:pt>
                <c:pt idx="11">
                  <c:v>1.0284127424810676</c:v>
                </c:pt>
                <c:pt idx="12">
                  <c:v>0.99840577956773058</c:v>
                </c:pt>
                <c:pt idx="13">
                  <c:v>0.94009493525562882</c:v>
                </c:pt>
                <c:pt idx="14">
                  <c:v>0.90742122548673376</c:v>
                </c:pt>
                <c:pt idx="15">
                  <c:v>0.94560419182767963</c:v>
                </c:pt>
                <c:pt idx="16">
                  <c:v>0.98198104325281577</c:v>
                </c:pt>
                <c:pt idx="17">
                  <c:v>0.98762969795595246</c:v>
                </c:pt>
                <c:pt idx="18">
                  <c:v>0.97335048070210028</c:v>
                </c:pt>
              </c:numCache>
            </c:numRef>
          </c:val>
          <c:smooth val="0"/>
          <c:extLst>
            <c:ext xmlns:c16="http://schemas.microsoft.com/office/drawing/2014/chart" uri="{C3380CC4-5D6E-409C-BE32-E72D297353CC}">
              <c16:uniqueId val="{00000002-35BA-46D4-A06D-308DE3108C1A}"/>
            </c:ext>
          </c:extLst>
        </c:ser>
        <c:dLbls>
          <c:showLegendKey val="0"/>
          <c:showVal val="0"/>
          <c:showCatName val="0"/>
          <c:showSerName val="0"/>
          <c:showPercent val="0"/>
          <c:showBubbleSize val="0"/>
        </c:dLbls>
        <c:marker val="1"/>
        <c:smooth val="0"/>
        <c:axId val="566030976"/>
        <c:axId val="1"/>
      </c:lineChart>
      <c:catAx>
        <c:axId val="566030976"/>
        <c:scaling>
          <c:orientation val="minMax"/>
        </c:scaling>
        <c:delete val="0"/>
        <c:axPos val="b"/>
        <c:title>
          <c:tx>
            <c:rich>
              <a:bodyPr/>
              <a:lstStyle/>
              <a:p>
                <a:pPr>
                  <a:defRPr/>
                </a:pPr>
                <a:r>
                  <a:rPr lang="en-US"/>
                  <a:t>Week</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1"/>
        <c:crosses val="autoZero"/>
        <c:auto val="1"/>
        <c:lblAlgn val="ctr"/>
        <c:lblOffset val="100"/>
        <c:noMultiLvlLbl val="0"/>
      </c:catAx>
      <c:valAx>
        <c:axId val="1"/>
        <c:scaling>
          <c:orientation val="minMax"/>
          <c:min val="0.60000000000000009"/>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 of 2019 Weekly Average</a:t>
                </a:r>
              </a:p>
            </c:rich>
          </c:tx>
          <c:overlay val="0"/>
          <c:spPr>
            <a:noFill/>
            <a:ln w="25400">
              <a:noFill/>
            </a:ln>
          </c:spPr>
        </c:title>
        <c:numFmt formatCode="0%" sourceLinked="0"/>
        <c:majorTickMark val="none"/>
        <c:minorTickMark val="none"/>
        <c:tickLblPos val="nextTo"/>
        <c:spPr>
          <a:ln w="6350">
            <a:noFill/>
          </a:ln>
        </c:spPr>
        <c:txPr>
          <a:bodyPr rot="0" vert="horz"/>
          <a:lstStyle/>
          <a:p>
            <a:pPr>
              <a:defRPr/>
            </a:pPr>
            <a:endParaRPr lang="en-US"/>
          </a:p>
        </c:txPr>
        <c:crossAx val="566030976"/>
        <c:crosses val="autoZero"/>
        <c:crossBetween val="between"/>
      </c:valAx>
      <c:spPr>
        <a:noFill/>
        <a:ln w="25400">
          <a:noFill/>
        </a:ln>
      </c:spPr>
    </c:plotArea>
    <c:legend>
      <c:legendPos val="b"/>
      <c:layout>
        <c:manualLayout>
          <c:xMode val="edge"/>
          <c:yMode val="edge"/>
          <c:x val="0.13975562737970787"/>
          <c:y val="0.89409667947350735"/>
          <c:w val="0.78234609224395069"/>
          <c:h val="7.8125721297824802E-2"/>
        </c:manualLayout>
      </c:layout>
      <c:overlay val="0"/>
      <c:spPr>
        <a:noFill/>
        <a:ln w="25400">
          <a:noFill/>
        </a:ln>
      </c:sp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34433013391575"/>
          <c:y val="4.3833609614587703E-2"/>
          <c:w val="0.80269946548652227"/>
          <c:h val="0.67869851533144321"/>
        </c:manualLayout>
      </c:layout>
      <c:lineChart>
        <c:grouping val="standard"/>
        <c:varyColors val="0"/>
        <c:ser>
          <c:idx val="0"/>
          <c:order val="0"/>
          <c:tx>
            <c:strRef>
              <c:f>'LV STRS'!$G$1472</c:f>
              <c:strCache>
                <c:ptCount val="1"/>
                <c:pt idx="0">
                  <c:v>Avg. 2016-18</c:v>
                </c:pt>
              </c:strCache>
            </c:strRef>
          </c:tx>
          <c:val>
            <c:numRef>
              <c:f>'LV STRS'!$H$1472:$H$1523</c:f>
              <c:numCache>
                <c:formatCode>##0.00</c:formatCode>
                <c:ptCount val="52"/>
                <c:pt idx="0">
                  <c:v>123.84666483561197</c:v>
                </c:pt>
                <c:pt idx="1">
                  <c:v>123.99666666666667</c:v>
                </c:pt>
                <c:pt idx="2">
                  <c:v>126.16666666666667</c:v>
                </c:pt>
                <c:pt idx="3">
                  <c:v>128.01333353678385</c:v>
                </c:pt>
                <c:pt idx="4">
                  <c:v>126.37666890462241</c:v>
                </c:pt>
                <c:pt idx="5">
                  <c:v>125.8199991861979</c:v>
                </c:pt>
                <c:pt idx="6">
                  <c:v>127.65666829427084</c:v>
                </c:pt>
                <c:pt idx="7">
                  <c:v>129.45666809082033</c:v>
                </c:pt>
                <c:pt idx="8">
                  <c:v>129.09333150227863</c:v>
                </c:pt>
                <c:pt idx="9">
                  <c:v>129.98333089192707</c:v>
                </c:pt>
                <c:pt idx="10">
                  <c:v>131.91</c:v>
                </c:pt>
                <c:pt idx="11">
                  <c:v>130.97666666666666</c:v>
                </c:pt>
                <c:pt idx="12">
                  <c:v>127.38999999999999</c:v>
                </c:pt>
                <c:pt idx="13">
                  <c:v>124.98666463216146</c:v>
                </c:pt>
                <c:pt idx="14">
                  <c:v>127.16333516438802</c:v>
                </c:pt>
                <c:pt idx="15">
                  <c:v>126.58666666666666</c:v>
                </c:pt>
                <c:pt idx="16">
                  <c:v>127.91333363850912</c:v>
                </c:pt>
                <c:pt idx="17">
                  <c:v>131.99999877929687</c:v>
                </c:pt>
                <c:pt idx="18">
                  <c:v>130.4966658528646</c:v>
                </c:pt>
                <c:pt idx="19">
                  <c:v>126.58</c:v>
                </c:pt>
                <c:pt idx="20">
                  <c:v>122.18333333333334</c:v>
                </c:pt>
                <c:pt idx="21">
                  <c:v>125.37</c:v>
                </c:pt>
                <c:pt idx="22">
                  <c:v>126.08333333333333</c:v>
                </c:pt>
                <c:pt idx="23">
                  <c:v>120.66333333333334</c:v>
                </c:pt>
                <c:pt idx="24">
                  <c:v>115.66000000000001</c:v>
                </c:pt>
                <c:pt idx="25">
                  <c:v>116.00333333333333</c:v>
                </c:pt>
                <c:pt idx="26">
                  <c:v>116.74333333333333</c:v>
                </c:pt>
                <c:pt idx="27">
                  <c:v>115.67333333333333</c:v>
                </c:pt>
                <c:pt idx="28">
                  <c:v>115.52666666666666</c:v>
                </c:pt>
                <c:pt idx="29">
                  <c:v>115.29666666666667</c:v>
                </c:pt>
                <c:pt idx="30">
                  <c:v>116.39999999999999</c:v>
                </c:pt>
                <c:pt idx="31">
                  <c:v>114.83333333333333</c:v>
                </c:pt>
                <c:pt idx="32">
                  <c:v>112.36666666666667</c:v>
                </c:pt>
                <c:pt idx="33">
                  <c:v>110.13333333333333</c:v>
                </c:pt>
                <c:pt idx="34">
                  <c:v>107.17333333333333</c:v>
                </c:pt>
                <c:pt idx="35">
                  <c:v>105.87</c:v>
                </c:pt>
                <c:pt idx="36">
                  <c:v>108.63666666666667</c:v>
                </c:pt>
                <c:pt idx="37">
                  <c:v>108.33333333333333</c:v>
                </c:pt>
                <c:pt idx="38">
                  <c:v>107.10333333333335</c:v>
                </c:pt>
                <c:pt idx="39">
                  <c:v>107.10000000000001</c:v>
                </c:pt>
                <c:pt idx="40">
                  <c:v>106.37333333333333</c:v>
                </c:pt>
                <c:pt idx="41">
                  <c:v>106.72000000000001</c:v>
                </c:pt>
                <c:pt idx="42">
                  <c:v>111.64666666666669</c:v>
                </c:pt>
                <c:pt idx="43">
                  <c:v>114.26333333333334</c:v>
                </c:pt>
                <c:pt idx="44">
                  <c:v>113.37</c:v>
                </c:pt>
                <c:pt idx="45">
                  <c:v>113.42</c:v>
                </c:pt>
                <c:pt idx="46">
                  <c:v>115.13666666666667</c:v>
                </c:pt>
                <c:pt idx="47">
                  <c:v>117.23666666666668</c:v>
                </c:pt>
                <c:pt idx="48">
                  <c:v>115.02999999999999</c:v>
                </c:pt>
                <c:pt idx="49">
                  <c:v>116.41333333333334</c:v>
                </c:pt>
                <c:pt idx="50">
                  <c:v>117.97333333333334</c:v>
                </c:pt>
                <c:pt idx="51">
                  <c:v>120.93333333333334</c:v>
                </c:pt>
              </c:numCache>
            </c:numRef>
          </c:val>
          <c:smooth val="0"/>
          <c:extLst>
            <c:ext xmlns:c16="http://schemas.microsoft.com/office/drawing/2014/chart" uri="{C3380CC4-5D6E-409C-BE32-E72D297353CC}">
              <c16:uniqueId val="{00000000-4CC3-4D3A-82CE-23A5FE7AB378}"/>
            </c:ext>
          </c:extLst>
        </c:ser>
        <c:ser>
          <c:idx val="1"/>
          <c:order val="1"/>
          <c:tx>
            <c:strRef>
              <c:f>'LV STRS'!$C$1524</c:f>
              <c:strCache>
                <c:ptCount val="1"/>
                <c:pt idx="0">
                  <c:v>2019</c:v>
                </c:pt>
              </c:strCache>
            </c:strRef>
          </c:tx>
          <c:spPr>
            <a:ln>
              <a:solidFill>
                <a:schemeClr val="bg2">
                  <a:lumMod val="75000"/>
                </a:schemeClr>
              </a:solidFill>
            </a:ln>
          </c:spPr>
          <c:marker>
            <c:symbol val="square"/>
            <c:size val="5"/>
            <c:spPr>
              <a:solidFill>
                <a:schemeClr val="bg2">
                  <a:lumMod val="75000"/>
                </a:schemeClr>
              </a:solidFill>
              <a:ln>
                <a:solidFill>
                  <a:schemeClr val="bg2">
                    <a:lumMod val="75000"/>
                  </a:schemeClr>
                </a:solidFill>
              </a:ln>
            </c:spPr>
          </c:marker>
          <c:val>
            <c:numRef>
              <c:f>'LV STRS'!$D$1524:$D$1575</c:f>
              <c:numCache>
                <c:formatCode>General</c:formatCode>
                <c:ptCount val="52"/>
                <c:pt idx="0">
                  <c:v>122.55</c:v>
                </c:pt>
                <c:pt idx="1">
                  <c:v>123.71</c:v>
                </c:pt>
                <c:pt idx="2">
                  <c:v>123.98</c:v>
                </c:pt>
                <c:pt idx="3">
                  <c:v>123.29</c:v>
                </c:pt>
                <c:pt idx="4">
                  <c:v>123.87</c:v>
                </c:pt>
                <c:pt idx="5">
                  <c:v>124.98</c:v>
                </c:pt>
                <c:pt idx="6">
                  <c:v>124.96</c:v>
                </c:pt>
                <c:pt idx="7">
                  <c:v>126.36</c:v>
                </c:pt>
                <c:pt idx="8">
                  <c:v>128.22</c:v>
                </c:pt>
                <c:pt idx="9">
                  <c:v>128.15</c:v>
                </c:pt>
                <c:pt idx="10">
                  <c:v>127.14</c:v>
                </c:pt>
                <c:pt idx="11">
                  <c:v>128.96</c:v>
                </c:pt>
                <c:pt idx="12">
                  <c:v>126.34</c:v>
                </c:pt>
                <c:pt idx="13">
                  <c:v>125.3</c:v>
                </c:pt>
                <c:pt idx="14">
                  <c:v>126.19</c:v>
                </c:pt>
                <c:pt idx="15">
                  <c:v>128.41999999999999</c:v>
                </c:pt>
                <c:pt idx="16">
                  <c:v>126.69</c:v>
                </c:pt>
                <c:pt idx="17">
                  <c:v>123.76</c:v>
                </c:pt>
                <c:pt idx="18">
                  <c:v>120.34</c:v>
                </c:pt>
                <c:pt idx="19">
                  <c:v>116.65</c:v>
                </c:pt>
                <c:pt idx="20">
                  <c:v>115.78</c:v>
                </c:pt>
                <c:pt idx="21">
                  <c:v>115.74</c:v>
                </c:pt>
                <c:pt idx="22">
                  <c:v>113.76</c:v>
                </c:pt>
                <c:pt idx="23">
                  <c:v>113.62</c:v>
                </c:pt>
                <c:pt idx="24">
                  <c:v>110.48</c:v>
                </c:pt>
                <c:pt idx="25">
                  <c:v>110.13</c:v>
                </c:pt>
                <c:pt idx="26">
                  <c:v>111.24</c:v>
                </c:pt>
                <c:pt idx="27">
                  <c:v>113.37</c:v>
                </c:pt>
                <c:pt idx="28">
                  <c:v>113.02</c:v>
                </c:pt>
                <c:pt idx="29">
                  <c:v>113.68</c:v>
                </c:pt>
                <c:pt idx="30">
                  <c:v>113.82</c:v>
                </c:pt>
                <c:pt idx="31">
                  <c:v>112.37</c:v>
                </c:pt>
                <c:pt idx="32">
                  <c:v>106.68</c:v>
                </c:pt>
                <c:pt idx="33">
                  <c:v>107.12</c:v>
                </c:pt>
                <c:pt idx="34">
                  <c:v>105.59</c:v>
                </c:pt>
                <c:pt idx="35">
                  <c:v>101.73</c:v>
                </c:pt>
                <c:pt idx="36">
                  <c:v>100.07</c:v>
                </c:pt>
                <c:pt idx="37">
                  <c:v>101.92</c:v>
                </c:pt>
                <c:pt idx="38">
                  <c:v>104.93</c:v>
                </c:pt>
                <c:pt idx="39">
                  <c:v>107.34</c:v>
                </c:pt>
                <c:pt idx="40">
                  <c:v>109.21</c:v>
                </c:pt>
                <c:pt idx="41">
                  <c:v>109.73</c:v>
                </c:pt>
                <c:pt idx="42">
                  <c:v>110.13</c:v>
                </c:pt>
                <c:pt idx="43">
                  <c:v>113.03</c:v>
                </c:pt>
                <c:pt idx="44">
                  <c:v>114.6</c:v>
                </c:pt>
                <c:pt idx="45">
                  <c:v>115.19</c:v>
                </c:pt>
                <c:pt idx="46">
                  <c:v>115.96</c:v>
                </c:pt>
                <c:pt idx="47">
                  <c:v>118.21</c:v>
                </c:pt>
                <c:pt idx="48" formatCode="##0.00">
                  <c:v>118.91999816894531</c:v>
                </c:pt>
                <c:pt idx="49" formatCode="##0.00">
                  <c:v>119.16999816894531</c:v>
                </c:pt>
                <c:pt idx="50" formatCode="##0.00">
                  <c:v>120.36000061035156</c:v>
                </c:pt>
                <c:pt idx="51" formatCode="##0.00">
                  <c:v>122.27999877929688</c:v>
                </c:pt>
              </c:numCache>
            </c:numRef>
          </c:val>
          <c:smooth val="0"/>
          <c:extLst>
            <c:ext xmlns:c16="http://schemas.microsoft.com/office/drawing/2014/chart" uri="{C3380CC4-5D6E-409C-BE32-E72D297353CC}">
              <c16:uniqueId val="{00000001-4CC3-4D3A-82CE-23A5FE7AB378}"/>
            </c:ext>
          </c:extLst>
        </c:ser>
        <c:ser>
          <c:idx val="2"/>
          <c:order val="2"/>
          <c:tx>
            <c:strRef>
              <c:f>'LV STRS'!$C$1576</c:f>
              <c:strCache>
                <c:ptCount val="1"/>
                <c:pt idx="0">
                  <c:v>2020</c:v>
                </c:pt>
              </c:strCache>
            </c:strRef>
          </c:tx>
          <c:spPr>
            <a:ln>
              <a:solidFill>
                <a:schemeClr val="accent6"/>
              </a:solidFill>
            </a:ln>
          </c:spPr>
          <c:marker>
            <c:spPr>
              <a:solidFill>
                <a:schemeClr val="accent6"/>
              </a:solidFill>
              <a:ln>
                <a:solidFill>
                  <a:schemeClr val="accent6"/>
                </a:solidFill>
              </a:ln>
            </c:spPr>
          </c:marker>
          <c:val>
            <c:numRef>
              <c:f>'LV STRS'!$D$1576:$D$1627</c:f>
              <c:numCache>
                <c:formatCode>##0.00</c:formatCode>
                <c:ptCount val="52"/>
                <c:pt idx="0">
                  <c:v>124.20999908447266</c:v>
                </c:pt>
                <c:pt idx="1">
                  <c:v>124.47000122070313</c:v>
                </c:pt>
                <c:pt idx="2">
                  <c:v>124.02999877929688</c:v>
                </c:pt>
                <c:pt idx="3">
                  <c:v>124.30000305175781</c:v>
                </c:pt>
                <c:pt idx="4" formatCode="General">
                  <c:v>122.04000091552734</c:v>
                </c:pt>
                <c:pt idx="5" formatCode="General">
                  <c:v>121.05000305175781</c:v>
                </c:pt>
                <c:pt idx="6" formatCode="General">
                  <c:v>118.90000152587891</c:v>
                </c:pt>
                <c:pt idx="7" formatCode="General">
                  <c:v>119.70999908447266</c:v>
                </c:pt>
                <c:pt idx="8" formatCode="General">
                  <c:v>114.84999847412109</c:v>
                </c:pt>
                <c:pt idx="9" formatCode="General">
                  <c:v>113.16999816894531</c:v>
                </c:pt>
                <c:pt idx="10" formatCode="General">
                  <c:v>108.83999633789063</c:v>
                </c:pt>
                <c:pt idx="11" formatCode="General">
                  <c:v>109.89</c:v>
                </c:pt>
                <c:pt idx="12" formatCode="General">
                  <c:v>119.31</c:v>
                </c:pt>
                <c:pt idx="13" formatCode="General">
                  <c:v>111.08</c:v>
                </c:pt>
                <c:pt idx="14" formatCode="General">
                  <c:v>105</c:v>
                </c:pt>
                <c:pt idx="15" formatCode="General">
                  <c:v>102.28</c:v>
                </c:pt>
                <c:pt idx="16" formatCode="General">
                  <c:v>96.69</c:v>
                </c:pt>
                <c:pt idx="17" formatCode="General">
                  <c:v>98.18</c:v>
                </c:pt>
                <c:pt idx="18" formatCode="General">
                  <c:v>104.5</c:v>
                </c:pt>
                <c:pt idx="19" formatCode="General">
                  <c:v>112.31</c:v>
                </c:pt>
                <c:pt idx="20" formatCode="General">
                  <c:v>119</c:v>
                </c:pt>
              </c:numCache>
            </c:numRef>
          </c:val>
          <c:smooth val="0"/>
          <c:extLst>
            <c:ext xmlns:c16="http://schemas.microsoft.com/office/drawing/2014/chart" uri="{C3380CC4-5D6E-409C-BE32-E72D297353CC}">
              <c16:uniqueId val="{00000002-4CC3-4D3A-82CE-23A5FE7AB378}"/>
            </c:ext>
          </c:extLst>
        </c:ser>
        <c:dLbls>
          <c:showLegendKey val="0"/>
          <c:showVal val="0"/>
          <c:showCatName val="0"/>
          <c:showSerName val="0"/>
          <c:showPercent val="0"/>
          <c:showBubbleSize val="0"/>
        </c:dLbls>
        <c:marker val="1"/>
        <c:smooth val="0"/>
        <c:axId val="329604432"/>
        <c:axId val="329604992"/>
      </c:lineChart>
      <c:catAx>
        <c:axId val="329604432"/>
        <c:scaling>
          <c:orientation val="minMax"/>
        </c:scaling>
        <c:delete val="0"/>
        <c:axPos val="b"/>
        <c:title>
          <c:tx>
            <c:rich>
              <a:bodyPr/>
              <a:lstStyle/>
              <a:p>
                <a:pPr>
                  <a:defRPr/>
                </a:pPr>
                <a:r>
                  <a:rPr lang="en-US"/>
                  <a:t>Week</a:t>
                </a:r>
              </a:p>
            </c:rich>
          </c:tx>
          <c:overlay val="0"/>
        </c:title>
        <c:majorTickMark val="out"/>
        <c:minorTickMark val="none"/>
        <c:tickLblPos val="nextTo"/>
        <c:crossAx val="329604992"/>
        <c:crosses val="autoZero"/>
        <c:auto val="1"/>
        <c:lblAlgn val="ctr"/>
        <c:lblOffset val="100"/>
        <c:tickLblSkip val="3"/>
        <c:noMultiLvlLbl val="0"/>
      </c:catAx>
      <c:valAx>
        <c:axId val="329604992"/>
        <c:scaling>
          <c:orientation val="minMax"/>
          <c:min val="90"/>
        </c:scaling>
        <c:delete val="0"/>
        <c:axPos val="l"/>
        <c:title>
          <c:tx>
            <c:rich>
              <a:bodyPr rot="-5400000" vert="horz"/>
              <a:lstStyle/>
              <a:p>
                <a:pPr>
                  <a:defRPr/>
                </a:pPr>
                <a:r>
                  <a:rPr lang="en-US"/>
                  <a:t>$/cwt</a:t>
                </a:r>
              </a:p>
            </c:rich>
          </c:tx>
          <c:layout>
            <c:manualLayout>
              <c:xMode val="edge"/>
              <c:yMode val="edge"/>
              <c:x val="1.5264785332490373E-2"/>
              <c:y val="0.31527035574846773"/>
            </c:manualLayout>
          </c:layout>
          <c:overlay val="0"/>
        </c:title>
        <c:numFmt formatCode="0" sourceLinked="0"/>
        <c:majorTickMark val="out"/>
        <c:minorTickMark val="none"/>
        <c:tickLblPos val="nextTo"/>
        <c:crossAx val="329604432"/>
        <c:crosses val="autoZero"/>
        <c:crossBetween val="between"/>
      </c:valAx>
    </c:plotArea>
    <c:legend>
      <c:legendPos val="b"/>
      <c:layout>
        <c:manualLayout>
          <c:xMode val="edge"/>
          <c:yMode val="edge"/>
          <c:x val="0.27264554347722925"/>
          <c:y val="0.91310539617984965"/>
          <c:w val="0.55559061759065487"/>
          <c:h val="7.2951624569727994E-2"/>
        </c:manualLayout>
      </c:layout>
      <c:overlay val="0"/>
    </c:legend>
    <c:plotVisOnly val="1"/>
    <c:dispBlanksAs val="gap"/>
    <c:showDLblsOverMax val="0"/>
  </c:chart>
  <c:spPr>
    <a:ln>
      <a:noFill/>
    </a:ln>
  </c:spPr>
  <c:txPr>
    <a:bodyPr/>
    <a:lstStyle/>
    <a:p>
      <a:pPr>
        <a:defRPr sz="11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79311746237137"/>
          <c:y val="5.8516441989254014E-2"/>
          <c:w val="0.81574839100004193"/>
          <c:h val="0.60907366945623942"/>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Summary!$AS$241:$AS$252</c:f>
              <c:numCache>
                <c:formatCode>0.00</c:formatCode>
                <c:ptCount val="12"/>
                <c:pt idx="0">
                  <c:v>1.1525526195041416</c:v>
                </c:pt>
                <c:pt idx="1">
                  <c:v>1.0544182945070395</c:v>
                </c:pt>
                <c:pt idx="2">
                  <c:v>0.99194114544221046</c:v>
                </c:pt>
                <c:pt idx="3">
                  <c:v>0.77912648179919353</c:v>
                </c:pt>
                <c:pt idx="4">
                  <c:v>0.84998202728231576</c:v>
                </c:pt>
                <c:pt idx="5">
                  <c:v>0.99125003223363883</c:v>
                </c:pt>
                <c:pt idx="6">
                  <c:v>0.93907301321300196</c:v>
                </c:pt>
                <c:pt idx="7">
                  <c:v>1.0902677087221828</c:v>
                </c:pt>
                <c:pt idx="8">
                  <c:v>0.9807619714872633</c:v>
                </c:pt>
                <c:pt idx="9">
                  <c:v>1.0466639130250592</c:v>
                </c:pt>
                <c:pt idx="10">
                  <c:v>0.96590179685106081</c:v>
                </c:pt>
                <c:pt idx="11">
                  <c:v>1.0368802896475524</c:v>
                </c:pt>
              </c:numCache>
            </c:numRef>
          </c:val>
          <c:smooth val="0"/>
          <c:extLst>
            <c:ext xmlns:c16="http://schemas.microsoft.com/office/drawing/2014/chart" uri="{C3380CC4-5D6E-409C-BE32-E72D297353CC}">
              <c16:uniqueId val="{00000000-F4AA-4FA6-92EC-76564CA9B833}"/>
            </c:ext>
          </c:extLst>
        </c:ser>
        <c:ser>
          <c:idx val="1"/>
          <c:order val="1"/>
          <c:tx>
            <c:strRef>
              <c:f>Summary!$AF$232</c:f>
              <c:strCache>
                <c:ptCount val="1"/>
                <c:pt idx="0">
                  <c:v>2020</c:v>
                </c:pt>
              </c:strCache>
            </c:strRef>
          </c:tx>
          <c:val>
            <c:numRef>
              <c:f>Summary!$N$292:$N$303</c:f>
              <c:numCache>
                <c:formatCode>0.000</c:formatCode>
                <c:ptCount val="12"/>
                <c:pt idx="0">
                  <c:v>1.0168509741969458</c:v>
                </c:pt>
                <c:pt idx="1">
                  <c:v>0.99106644332774985</c:v>
                </c:pt>
                <c:pt idx="2">
                  <c:v>0.97572815533980584</c:v>
                </c:pt>
                <c:pt idx="3" formatCode="General">
                  <c:v>0.59478189971463513</c:v>
                </c:pt>
              </c:numCache>
            </c:numRef>
          </c:val>
          <c:smooth val="0"/>
          <c:extLst>
            <c:ext xmlns:c16="http://schemas.microsoft.com/office/drawing/2014/chart" uri="{C3380CC4-5D6E-409C-BE32-E72D297353CC}">
              <c16:uniqueId val="{00000001-F4AA-4FA6-92EC-76564CA9B833}"/>
            </c:ext>
          </c:extLst>
        </c:ser>
        <c:ser>
          <c:idx val="3"/>
          <c:order val="2"/>
          <c:tx>
            <c:strRef>
              <c:f>Summary!$B$280</c:f>
              <c:strCache>
                <c:ptCount val="1"/>
                <c:pt idx="0">
                  <c:v>2019</c:v>
                </c:pt>
              </c:strCache>
            </c:strRef>
          </c:tx>
          <c:marker>
            <c:symbol val="none"/>
          </c:marker>
          <c:val>
            <c:numRef>
              <c:f>Summary!$N$280:$N$291</c:f>
              <c:numCache>
                <c:formatCode>_(* #,##0.00_);_(* \(#,##0.00\);_(* "-"??_);_(@_)</c:formatCode>
                <c:ptCount val="12"/>
                <c:pt idx="0">
                  <c:v>1.0084477296726504</c:v>
                </c:pt>
                <c:pt idx="1">
                  <c:v>0.84700553598389527</c:v>
                </c:pt>
                <c:pt idx="2">
                  <c:v>0.77328111401218447</c:v>
                </c:pt>
                <c:pt idx="3">
                  <c:v>0.71407407407407408</c:v>
                </c:pt>
                <c:pt idx="4">
                  <c:v>0.766950722489811</c:v>
                </c:pt>
                <c:pt idx="5" formatCode="0.000">
                  <c:v>0.83713916415338219</c:v>
                </c:pt>
                <c:pt idx="6" formatCode="0.000">
                  <c:v>0.87576552930883644</c:v>
                </c:pt>
                <c:pt idx="7" formatCode="0.000">
                  <c:v>0.94075144508670516</c:v>
                </c:pt>
                <c:pt idx="8" formatCode="0.000">
                  <c:v>0.84042553191489366</c:v>
                </c:pt>
                <c:pt idx="9" formatCode="0.000">
                  <c:v>0.88778409090909094</c:v>
                </c:pt>
                <c:pt idx="10" formatCode="0.000">
                  <c:v>0.813369223867205</c:v>
                </c:pt>
                <c:pt idx="11" formatCode="0.000">
                  <c:v>0.87374940447832306</c:v>
                </c:pt>
              </c:numCache>
            </c:numRef>
          </c:val>
          <c:smooth val="0"/>
          <c:extLst>
            <c:ext xmlns:c16="http://schemas.microsoft.com/office/drawing/2014/chart" uri="{C3380CC4-5D6E-409C-BE32-E72D297353CC}">
              <c16:uniqueId val="{00000002-F4AA-4FA6-92EC-76564CA9B833}"/>
            </c:ext>
          </c:extLst>
        </c:ser>
        <c:dLbls>
          <c:showLegendKey val="0"/>
          <c:showVal val="0"/>
          <c:showCatName val="0"/>
          <c:showSerName val="0"/>
          <c:showPercent val="0"/>
          <c:showBubbleSize val="0"/>
        </c:dLbls>
        <c:smooth val="0"/>
        <c:axId val="318960528"/>
        <c:axId val="318961088"/>
      </c:lineChart>
      <c:dateAx>
        <c:axId val="318960528"/>
        <c:scaling>
          <c:orientation val="minMax"/>
        </c:scaling>
        <c:delete val="0"/>
        <c:axPos val="b"/>
        <c:title>
          <c:tx>
            <c:rich>
              <a:bodyPr/>
              <a:lstStyle/>
              <a:p>
                <a:pPr>
                  <a:defRPr/>
                </a:pPr>
                <a:r>
                  <a:rPr lang="en-US"/>
                  <a:t>Month</a:t>
                </a:r>
              </a:p>
            </c:rich>
          </c:tx>
          <c:overlay val="0"/>
        </c:title>
        <c:numFmt formatCode="[$-409]mmmmm;@" sourceLinked="0"/>
        <c:majorTickMark val="out"/>
        <c:minorTickMark val="none"/>
        <c:tickLblPos val="nextTo"/>
        <c:txPr>
          <a:bodyPr rot="0" vert="horz"/>
          <a:lstStyle/>
          <a:p>
            <a:pPr>
              <a:defRPr/>
            </a:pPr>
            <a:endParaRPr lang="en-US"/>
          </a:p>
        </c:txPr>
        <c:crossAx val="318961088"/>
        <c:crosses val="autoZero"/>
        <c:auto val="1"/>
        <c:lblOffset val="100"/>
        <c:baseTimeUnit val="months"/>
      </c:dateAx>
      <c:valAx>
        <c:axId val="318961088"/>
        <c:scaling>
          <c:orientation val="minMax"/>
          <c:min val="0.12000000000000001"/>
        </c:scaling>
        <c:delete val="0"/>
        <c:axPos val="l"/>
        <c:title>
          <c:tx>
            <c:rich>
              <a:bodyPr/>
              <a:lstStyle/>
              <a:p>
                <a:pPr>
                  <a:defRPr/>
                </a:pPr>
                <a:r>
                  <a:rPr lang="en-US"/>
                  <a:t>% of COF 150+</a:t>
                </a:r>
              </a:p>
            </c:rich>
          </c:tx>
          <c:layout>
            <c:manualLayout>
              <c:xMode val="edge"/>
              <c:yMode val="edge"/>
              <c:x val="1.7543686120658243E-2"/>
              <c:y val="0.2037719119215077"/>
            </c:manualLayout>
          </c:layout>
          <c:overlay val="0"/>
        </c:title>
        <c:numFmt formatCode="0%" sourceLinked="0"/>
        <c:majorTickMark val="out"/>
        <c:minorTickMark val="none"/>
        <c:tickLblPos val="nextTo"/>
        <c:txPr>
          <a:bodyPr rot="0" vert="horz"/>
          <a:lstStyle/>
          <a:p>
            <a:pPr>
              <a:defRPr/>
            </a:pPr>
            <a:endParaRPr lang="en-US"/>
          </a:p>
        </c:txPr>
        <c:crossAx val="318960528"/>
        <c:crosses val="autoZero"/>
        <c:crossBetween val="between"/>
      </c:valAx>
    </c:plotArea>
    <c:legend>
      <c:legendPos val="b"/>
      <c:layout>
        <c:manualLayout>
          <c:xMode val="edge"/>
          <c:yMode val="edge"/>
          <c:x val="0.17798809395400919"/>
          <c:y val="0.89286341881061659"/>
          <c:w val="0.75221901617529441"/>
          <c:h val="6.6442224421358942E-2"/>
        </c:manualLayout>
      </c:layout>
      <c:overlay val="0"/>
    </c:legend>
    <c:plotVisOnly val="1"/>
    <c:dispBlanksAs val="gap"/>
    <c:showDLblsOverMax val="0"/>
  </c:chart>
  <c:spPr>
    <a:ln>
      <a:noFill/>
    </a:ln>
  </c:spPr>
  <c:txPr>
    <a:bodyPr/>
    <a:lstStyle/>
    <a:p>
      <a:pPr>
        <a:defRPr sz="105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4</cp:revision>
  <dcterms:created xsi:type="dcterms:W3CDTF">2020-05-22T18:16:00Z</dcterms:created>
  <dcterms:modified xsi:type="dcterms:W3CDTF">2020-05-26T13:23:00Z</dcterms:modified>
</cp:coreProperties>
</file>