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305F" w14:textId="243CCFD8" w:rsidR="000F5CF3" w:rsidRDefault="000F5CF3" w:rsidP="0055044C">
      <w:pPr>
        <w:shd w:val="clear" w:color="auto" w:fill="FFFFFF"/>
        <w:spacing w:after="0" w:line="240" w:lineRule="auto"/>
        <w:jc w:val="center"/>
        <w:rPr>
          <w:rFonts w:ascii="Cambria" w:eastAsia="Times New Roman" w:hAnsi="Cambria" w:cs="Times New Roman"/>
          <w:b/>
          <w:sz w:val="28"/>
          <w:szCs w:val="28"/>
        </w:rPr>
      </w:pPr>
      <w:r w:rsidRPr="00B44CB1">
        <w:rPr>
          <w:rFonts w:ascii="Arial" w:hAnsi="Arial" w:cs="Arial"/>
          <w:noProof/>
        </w:rPr>
        <w:drawing>
          <wp:anchor distT="0" distB="0" distL="114300" distR="114300" simplePos="0" relativeHeight="251659264" behindDoc="0" locked="0" layoutInCell="1" allowOverlap="1" wp14:anchorId="2D612BE3" wp14:editId="4045EF6F">
            <wp:simplePos x="0" y="0"/>
            <wp:positionH relativeFrom="column">
              <wp:posOffset>291465</wp:posOffset>
            </wp:positionH>
            <wp:positionV relativeFrom="paragraph">
              <wp:posOffset>-301011</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4"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AD4715" w14:textId="03EC887D" w:rsidR="000F5CF3" w:rsidRDefault="000F5CF3" w:rsidP="0055044C">
      <w:pPr>
        <w:shd w:val="clear" w:color="auto" w:fill="FFFFFF"/>
        <w:spacing w:after="0" w:line="240" w:lineRule="auto"/>
        <w:jc w:val="center"/>
        <w:rPr>
          <w:rFonts w:ascii="Cambria" w:eastAsia="Times New Roman" w:hAnsi="Cambria" w:cs="Times New Roman"/>
          <w:b/>
          <w:sz w:val="28"/>
          <w:szCs w:val="28"/>
        </w:rPr>
      </w:pPr>
    </w:p>
    <w:p w14:paraId="1F733EFA" w14:textId="77777777" w:rsidR="000F5CF3" w:rsidRDefault="000F5CF3" w:rsidP="0055044C">
      <w:pPr>
        <w:shd w:val="clear" w:color="auto" w:fill="FFFFFF"/>
        <w:spacing w:after="0" w:line="240" w:lineRule="auto"/>
        <w:jc w:val="center"/>
        <w:rPr>
          <w:rFonts w:ascii="Cambria" w:eastAsia="Times New Roman" w:hAnsi="Cambria" w:cs="Times New Roman"/>
          <w:b/>
          <w:sz w:val="28"/>
          <w:szCs w:val="28"/>
        </w:rPr>
      </w:pPr>
    </w:p>
    <w:p w14:paraId="062AE742" w14:textId="5B80066D" w:rsidR="000F5CF3" w:rsidRDefault="000F5CF3" w:rsidP="0055044C">
      <w:pPr>
        <w:shd w:val="clear" w:color="auto" w:fill="FFFFFF"/>
        <w:spacing w:after="0" w:line="240" w:lineRule="auto"/>
        <w:jc w:val="center"/>
        <w:rPr>
          <w:rFonts w:ascii="Cambria" w:eastAsia="Times New Roman" w:hAnsi="Cambria" w:cs="Times New Roman"/>
          <w:b/>
          <w:sz w:val="28"/>
          <w:szCs w:val="28"/>
        </w:rPr>
      </w:pPr>
    </w:p>
    <w:p w14:paraId="286ABFA9" w14:textId="77777777" w:rsidR="000F5CF3" w:rsidRDefault="000F5CF3" w:rsidP="0055044C">
      <w:pPr>
        <w:shd w:val="clear" w:color="auto" w:fill="FFFFFF"/>
        <w:spacing w:after="0" w:line="240" w:lineRule="auto"/>
        <w:jc w:val="center"/>
        <w:rPr>
          <w:rFonts w:ascii="Cambria" w:eastAsia="Times New Roman" w:hAnsi="Cambria" w:cs="Times New Roman"/>
          <w:b/>
          <w:sz w:val="28"/>
          <w:szCs w:val="28"/>
        </w:rPr>
      </w:pPr>
    </w:p>
    <w:p w14:paraId="543108A2" w14:textId="36F6781D" w:rsidR="0055044C" w:rsidRPr="000F5CF3" w:rsidRDefault="0055044C" w:rsidP="0055044C">
      <w:pPr>
        <w:shd w:val="clear" w:color="auto" w:fill="FFFFFF"/>
        <w:spacing w:after="0" w:line="240" w:lineRule="auto"/>
        <w:jc w:val="center"/>
        <w:rPr>
          <w:rFonts w:ascii="Cambria" w:eastAsia="Times New Roman" w:hAnsi="Cambria" w:cs="Times New Roman"/>
          <w:b/>
          <w:sz w:val="28"/>
          <w:szCs w:val="28"/>
        </w:rPr>
      </w:pPr>
      <w:r w:rsidRPr="000F5CF3">
        <w:rPr>
          <w:rFonts w:ascii="Cambria" w:eastAsia="Times New Roman" w:hAnsi="Cambria" w:cs="Times New Roman"/>
          <w:b/>
          <w:sz w:val="28"/>
          <w:szCs w:val="28"/>
        </w:rPr>
        <w:t>COVID-19 Impacts on Arkansas’ Agricultural and Rural Economies</w:t>
      </w:r>
    </w:p>
    <w:p w14:paraId="78251F9E"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p>
    <w:p w14:paraId="433AD866"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p>
    <w:p w14:paraId="438C9F64"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p>
    <w:p w14:paraId="04CB8D1C" w14:textId="77777777" w:rsidR="0055044C" w:rsidRPr="000F5CF3" w:rsidRDefault="0055044C" w:rsidP="0055044C">
      <w:pPr>
        <w:shd w:val="clear" w:color="auto" w:fill="FFFFFF"/>
        <w:spacing w:after="0" w:line="240" w:lineRule="auto"/>
        <w:jc w:val="center"/>
        <w:rPr>
          <w:rFonts w:ascii="Cambria" w:eastAsia="Times New Roman" w:hAnsi="Cambria" w:cs="Times New Roman"/>
          <w:b/>
          <w:sz w:val="52"/>
          <w:szCs w:val="52"/>
        </w:rPr>
      </w:pPr>
      <w:r w:rsidRPr="000F5CF3">
        <w:rPr>
          <w:rFonts w:ascii="Cambria" w:eastAsia="Times New Roman" w:hAnsi="Cambria" w:cs="Times New Roman"/>
          <w:b/>
          <w:sz w:val="52"/>
          <w:szCs w:val="52"/>
        </w:rPr>
        <w:t xml:space="preserve">UPDATE: </w:t>
      </w:r>
    </w:p>
    <w:p w14:paraId="3FE8A048" w14:textId="77777777" w:rsidR="000F5CF3" w:rsidRDefault="0055044C" w:rsidP="0055044C">
      <w:pPr>
        <w:jc w:val="center"/>
        <w:rPr>
          <w:rFonts w:ascii="Cambria" w:hAnsi="Cambria"/>
          <w:b/>
          <w:sz w:val="52"/>
          <w:szCs w:val="52"/>
        </w:rPr>
      </w:pPr>
      <w:r w:rsidRPr="000F5CF3">
        <w:rPr>
          <w:rFonts w:ascii="Cambria" w:hAnsi="Cambria"/>
          <w:b/>
          <w:sz w:val="52"/>
          <w:szCs w:val="52"/>
        </w:rPr>
        <w:t xml:space="preserve">Gasoline Market Situation and </w:t>
      </w:r>
    </w:p>
    <w:p w14:paraId="0FF10D1E" w14:textId="55FF583B" w:rsidR="0055044C" w:rsidRPr="000F5CF3" w:rsidRDefault="0055044C" w:rsidP="0055044C">
      <w:pPr>
        <w:jc w:val="center"/>
        <w:rPr>
          <w:rFonts w:ascii="Cambria" w:hAnsi="Cambria"/>
          <w:b/>
          <w:sz w:val="52"/>
          <w:szCs w:val="52"/>
        </w:rPr>
      </w:pPr>
      <w:r w:rsidRPr="000F5CF3">
        <w:rPr>
          <w:rFonts w:ascii="Cambria" w:hAnsi="Cambria"/>
          <w:b/>
          <w:sz w:val="52"/>
          <w:szCs w:val="52"/>
        </w:rPr>
        <w:t>Outlook for Summer</w:t>
      </w:r>
    </w:p>
    <w:p w14:paraId="2D90F63D" w14:textId="77777777" w:rsidR="0055044C" w:rsidRPr="000F5CF3" w:rsidRDefault="0055044C" w:rsidP="0055044C">
      <w:pPr>
        <w:shd w:val="clear" w:color="auto" w:fill="FFFFFF"/>
        <w:spacing w:after="0" w:line="240" w:lineRule="auto"/>
        <w:rPr>
          <w:rFonts w:ascii="Cambria" w:eastAsia="Times New Roman" w:hAnsi="Cambria" w:cs="Times New Roman"/>
          <w:b/>
        </w:rPr>
      </w:pPr>
    </w:p>
    <w:p w14:paraId="2D4360CC" w14:textId="77777777" w:rsidR="0055044C" w:rsidRPr="000F5CF3" w:rsidRDefault="0055044C" w:rsidP="0055044C">
      <w:pPr>
        <w:shd w:val="clear" w:color="auto" w:fill="FFFFFF"/>
        <w:spacing w:after="0" w:line="240" w:lineRule="auto"/>
        <w:rPr>
          <w:rFonts w:ascii="Cambria" w:eastAsia="Times New Roman" w:hAnsi="Cambria" w:cs="Times New Roman"/>
          <w:b/>
        </w:rPr>
      </w:pPr>
    </w:p>
    <w:p w14:paraId="0CE53566" w14:textId="77777777" w:rsidR="0055044C" w:rsidRPr="000F5CF3" w:rsidRDefault="0055044C" w:rsidP="0055044C">
      <w:pPr>
        <w:shd w:val="clear" w:color="auto" w:fill="FFFFFF"/>
        <w:spacing w:after="0" w:line="240" w:lineRule="auto"/>
        <w:rPr>
          <w:rFonts w:ascii="Cambria" w:eastAsia="Times New Roman" w:hAnsi="Cambria" w:cs="Times New Roman"/>
          <w:b/>
        </w:rPr>
      </w:pPr>
    </w:p>
    <w:p w14:paraId="503E41E0"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r w:rsidRPr="000F5CF3">
        <w:rPr>
          <w:rFonts w:ascii="Cambria" w:eastAsia="Times New Roman" w:hAnsi="Cambria" w:cs="Times New Roman"/>
          <w:b/>
        </w:rPr>
        <w:t>Prepared by:</w:t>
      </w:r>
    </w:p>
    <w:p w14:paraId="7F721493"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p>
    <w:p w14:paraId="568C4250"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p>
    <w:p w14:paraId="5DD8DB17"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r w:rsidRPr="000F5CF3">
        <w:rPr>
          <w:rFonts w:ascii="Cambria" w:eastAsia="Times New Roman" w:hAnsi="Cambria" w:cs="Times New Roman"/>
          <w:b/>
        </w:rPr>
        <w:t>John D. Anderson</w:t>
      </w:r>
    </w:p>
    <w:p w14:paraId="6359EE00"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r w:rsidRPr="000F5CF3">
        <w:rPr>
          <w:rFonts w:ascii="Cambria" w:eastAsia="Times New Roman" w:hAnsi="Cambria" w:cs="Times New Roman"/>
          <w:b/>
        </w:rPr>
        <w:t xml:space="preserve">Department of Agricultural Economics and Agribusiness </w:t>
      </w:r>
    </w:p>
    <w:p w14:paraId="0C0C5E61"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p>
    <w:p w14:paraId="518D63B0"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p>
    <w:p w14:paraId="38363679"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p>
    <w:p w14:paraId="12D48A24"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p>
    <w:p w14:paraId="7EC433CF"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r w:rsidRPr="000F5CF3">
        <w:rPr>
          <w:rFonts w:ascii="Cambria" w:eastAsia="Times New Roman" w:hAnsi="Cambria" w:cs="Times New Roman"/>
          <w:b/>
        </w:rPr>
        <w:t>April 9, 2021</w:t>
      </w:r>
    </w:p>
    <w:p w14:paraId="480476E6" w14:textId="77777777" w:rsidR="0055044C" w:rsidRPr="000F5CF3" w:rsidRDefault="0055044C" w:rsidP="0055044C">
      <w:pPr>
        <w:shd w:val="clear" w:color="auto" w:fill="FFFFFF"/>
        <w:spacing w:after="0" w:line="240" w:lineRule="auto"/>
        <w:jc w:val="center"/>
        <w:rPr>
          <w:rFonts w:ascii="Cambria" w:eastAsia="Times New Roman" w:hAnsi="Cambria" w:cs="Times New Roman"/>
          <w:b/>
        </w:rPr>
      </w:pPr>
    </w:p>
    <w:p w14:paraId="6E522234" w14:textId="77777777" w:rsidR="0055044C" w:rsidRPr="000F5CF3" w:rsidRDefault="0055044C" w:rsidP="0055044C">
      <w:pPr>
        <w:rPr>
          <w:rFonts w:ascii="Cambria" w:hAnsi="Cambria"/>
        </w:rPr>
      </w:pPr>
      <w:r w:rsidRPr="000F5CF3">
        <w:rPr>
          <w:rFonts w:ascii="Cambria" w:hAnsi="Cambria"/>
        </w:rPr>
        <w:br w:type="page"/>
      </w:r>
    </w:p>
    <w:p w14:paraId="5FF71E1F" w14:textId="77777777" w:rsidR="00815DA7" w:rsidRPr="000F5CF3" w:rsidRDefault="009F0BB0" w:rsidP="009F0BB0">
      <w:pPr>
        <w:jc w:val="center"/>
        <w:rPr>
          <w:rFonts w:ascii="Cambria" w:hAnsi="Cambria"/>
          <w:b/>
        </w:rPr>
      </w:pPr>
      <w:r w:rsidRPr="000F5CF3">
        <w:rPr>
          <w:rFonts w:ascii="Cambria" w:hAnsi="Cambria"/>
          <w:b/>
        </w:rPr>
        <w:lastRenderedPageBreak/>
        <w:t>Gasoline Market Situation and Outlook for Summer</w:t>
      </w:r>
    </w:p>
    <w:p w14:paraId="264B8792" w14:textId="77777777" w:rsidR="00931470" w:rsidRPr="000F5CF3" w:rsidRDefault="00931470">
      <w:pPr>
        <w:rPr>
          <w:rFonts w:ascii="Cambria" w:hAnsi="Cambria"/>
        </w:rPr>
      </w:pPr>
      <w:r w:rsidRPr="000F5CF3">
        <w:rPr>
          <w:rFonts w:ascii="Cambria" w:hAnsi="Cambria"/>
        </w:rPr>
        <w:t xml:space="preserve">Summer driving season is fast approaching, and after a year of severely curtailed travel due to the pandemic, people appear to be itching to get on the road.  Fueling up for the trip is not going to be cheap, though; at least not as cheap as in the recent past.  Retail gasoline price have risen considerably in the last several weeks.  Anecdotally, some localized shortages have even developed.  This seems mostly due to normal seasonal factors along with some lingering impact of February’s severe winter weather.  And while prices aren’t </w:t>
      </w:r>
      <w:r w:rsidR="004F1CD6" w:rsidRPr="000F5CF3">
        <w:rPr>
          <w:rFonts w:ascii="Cambria" w:hAnsi="Cambria"/>
        </w:rPr>
        <w:t>all that high in historic context, they are lot higher than in 2020, when the demand shock of the pandemic kept prices depressed for much of the year.</w:t>
      </w:r>
      <w:r w:rsidR="003571C5" w:rsidRPr="000F5CF3">
        <w:rPr>
          <w:rFonts w:ascii="Cambria" w:hAnsi="Cambria"/>
        </w:rPr>
        <w:t xml:space="preserve">  For the week ending April 5, the average retail price of gasoline in the U.S. was $2.945 per gallon.  This is about even with prices in late-Spring/early-Summer 2019, but it is far higher than the pandemic-induced low of $1.87 per gallon in late-April 2020.  Figure 1 shows weekly U.S. retail gasoline prices for 2019 through 2020 year-to-date.</w:t>
      </w:r>
    </w:p>
    <w:p w14:paraId="3A9CACA1" w14:textId="77777777" w:rsidR="004F1CD6" w:rsidRPr="000F5CF3" w:rsidRDefault="00B05A46">
      <w:pPr>
        <w:rPr>
          <w:rFonts w:ascii="Cambria" w:hAnsi="Cambria"/>
        </w:rPr>
      </w:pPr>
      <w:r w:rsidRPr="000F5CF3">
        <w:rPr>
          <w:rFonts w:ascii="Cambria" w:hAnsi="Cambria"/>
          <w:noProof/>
        </w:rPr>
        <w:drawing>
          <wp:inline distT="0" distB="0" distL="0" distR="0" wp14:anchorId="164A70F4" wp14:editId="40DBF012">
            <wp:extent cx="5381625" cy="2886075"/>
            <wp:effectExtent l="0" t="0" r="0" b="0"/>
            <wp:docPr id="1" name="Chart 1">
              <a:extLst xmlns:a="http://schemas.openxmlformats.org/drawingml/2006/main">
                <a:ext uri="{FF2B5EF4-FFF2-40B4-BE49-F238E27FC236}">
                  <a16:creationId xmlns:a16="http://schemas.microsoft.com/office/drawing/2014/main" id="{6C95D6D2-5AB1-46EB-8DF2-166E56A3C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79765FF" w14:textId="77777777" w:rsidR="003571C5" w:rsidRPr="000F5CF3" w:rsidRDefault="003571C5">
      <w:pPr>
        <w:rPr>
          <w:rFonts w:ascii="Cambria" w:hAnsi="Cambria"/>
          <w:sz w:val="20"/>
          <w:szCs w:val="20"/>
        </w:rPr>
      </w:pPr>
      <w:r w:rsidRPr="000F5CF3">
        <w:rPr>
          <w:rFonts w:ascii="Cambria" w:hAnsi="Cambria"/>
          <w:sz w:val="20"/>
          <w:szCs w:val="20"/>
        </w:rPr>
        <w:t>Data Source: U.S. Department of Energy, Energy Information Administration</w:t>
      </w:r>
    </w:p>
    <w:p w14:paraId="7630A261" w14:textId="77777777" w:rsidR="003571C5" w:rsidRPr="000F5CF3" w:rsidRDefault="003571C5">
      <w:pPr>
        <w:rPr>
          <w:rFonts w:ascii="Cambria" w:hAnsi="Cambria"/>
        </w:rPr>
      </w:pPr>
      <w:r w:rsidRPr="000F5CF3">
        <w:rPr>
          <w:rFonts w:ascii="Cambria" w:hAnsi="Cambria"/>
          <w:b/>
        </w:rPr>
        <w:t>Figure 1.</w:t>
      </w:r>
      <w:r w:rsidRPr="000F5CF3">
        <w:rPr>
          <w:rFonts w:ascii="Cambria" w:hAnsi="Cambria"/>
        </w:rPr>
        <w:t xml:space="preserve"> Weekly U.S. Retail Gasoline Prices: All Grades, All Formulations</w:t>
      </w:r>
    </w:p>
    <w:p w14:paraId="42D24CAA" w14:textId="77777777" w:rsidR="003571C5" w:rsidRPr="000F5CF3" w:rsidRDefault="003571C5">
      <w:pPr>
        <w:rPr>
          <w:rFonts w:ascii="Cambria" w:hAnsi="Cambria"/>
        </w:rPr>
      </w:pPr>
      <w:r w:rsidRPr="000F5CF3">
        <w:rPr>
          <w:rFonts w:ascii="Cambria" w:hAnsi="Cambria"/>
        </w:rPr>
        <w:t>Gasoline prices in Arkansas have risen a bit more, comparatively, than nationally.  The Energy Information Administration does not specifically break out Arkansas prices, but Arkansas is included in their Petroleum Administration for Defense District 3 (PADD3), which includes Alabama, Arkansas, Louisiana, Mississippi, New Mexico, and Texas.  The PADD3 average retail gasoline price hit $2.693 per gallon near the end of March before retreating almost a nickel in the subsequent two weeks. This is a lower average than the U.S. price, but the increase since the first of the year has been greater: U.S. prices have gone up about 25% since the first week of the year; PADD3 prices have gone up about 35% over that same period.</w:t>
      </w:r>
      <w:r w:rsidR="00221424" w:rsidRPr="000F5CF3">
        <w:rPr>
          <w:rFonts w:ascii="Cambria" w:hAnsi="Cambria"/>
        </w:rPr>
        <w:t xml:space="preserve">  Prices in the PADD3 region are the highest since June 2018.</w:t>
      </w:r>
    </w:p>
    <w:p w14:paraId="18D3DF1E" w14:textId="77777777" w:rsidR="003571C5" w:rsidRPr="000F5CF3" w:rsidRDefault="003571C5">
      <w:pPr>
        <w:rPr>
          <w:rFonts w:ascii="Cambria" w:hAnsi="Cambria"/>
        </w:rPr>
      </w:pPr>
      <w:r w:rsidRPr="000F5CF3">
        <w:rPr>
          <w:rFonts w:ascii="Cambria" w:hAnsi="Cambria"/>
        </w:rPr>
        <w:t>At least some of th</w:t>
      </w:r>
      <w:r w:rsidR="00AC583B" w:rsidRPr="000F5CF3">
        <w:rPr>
          <w:rFonts w:ascii="Cambria" w:hAnsi="Cambria"/>
        </w:rPr>
        <w:t xml:space="preserve">e PADD3 increase appears to be a hangover from the production disruptions caused by the severe winter weather across the southern region in the second half of February.  </w:t>
      </w:r>
      <w:r w:rsidR="00221424" w:rsidRPr="000F5CF3">
        <w:rPr>
          <w:rFonts w:ascii="Cambria" w:hAnsi="Cambria"/>
        </w:rPr>
        <w:lastRenderedPageBreak/>
        <w:t>Figure 2 shows the sharp decline in PADD3 production of finished gasoline by refiners and blenders for about three weeks beginning in mid-February.</w:t>
      </w:r>
    </w:p>
    <w:p w14:paraId="13232EB5" w14:textId="77777777" w:rsidR="00221424" w:rsidRPr="000F5CF3" w:rsidRDefault="00221424">
      <w:pPr>
        <w:rPr>
          <w:rFonts w:ascii="Cambria" w:hAnsi="Cambria"/>
        </w:rPr>
      </w:pPr>
      <w:r w:rsidRPr="000F5CF3">
        <w:rPr>
          <w:rFonts w:ascii="Cambria" w:hAnsi="Cambria"/>
          <w:noProof/>
        </w:rPr>
        <w:drawing>
          <wp:inline distT="0" distB="0" distL="0" distR="0" wp14:anchorId="5095BB8E" wp14:editId="1B490856">
            <wp:extent cx="5591175" cy="3171825"/>
            <wp:effectExtent l="0" t="0" r="0" b="0"/>
            <wp:docPr id="2" name="Chart 2">
              <a:extLst xmlns:a="http://schemas.openxmlformats.org/drawingml/2006/main">
                <a:ext uri="{FF2B5EF4-FFF2-40B4-BE49-F238E27FC236}">
                  <a16:creationId xmlns:a16="http://schemas.microsoft.com/office/drawing/2014/main" id="{FC2A9750-0272-4C37-924D-C8BA2AA8ED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7C3A10F" w14:textId="77777777" w:rsidR="00221424" w:rsidRPr="000F5CF3" w:rsidRDefault="00221424" w:rsidP="00221424">
      <w:pPr>
        <w:rPr>
          <w:rFonts w:ascii="Cambria" w:hAnsi="Cambria"/>
          <w:sz w:val="20"/>
          <w:szCs w:val="20"/>
        </w:rPr>
      </w:pPr>
      <w:r w:rsidRPr="000F5CF3">
        <w:rPr>
          <w:rFonts w:ascii="Cambria" w:hAnsi="Cambria"/>
          <w:sz w:val="20"/>
          <w:szCs w:val="20"/>
        </w:rPr>
        <w:t>Data Source: U.S. Department of Energy, Energy Information Administration</w:t>
      </w:r>
    </w:p>
    <w:p w14:paraId="370684FB" w14:textId="77777777" w:rsidR="00221424" w:rsidRPr="000F5CF3" w:rsidRDefault="00221424" w:rsidP="00221424">
      <w:pPr>
        <w:rPr>
          <w:rFonts w:ascii="Cambria" w:hAnsi="Cambria"/>
        </w:rPr>
      </w:pPr>
      <w:r w:rsidRPr="000F5CF3">
        <w:rPr>
          <w:rFonts w:ascii="Cambria" w:hAnsi="Cambria"/>
          <w:b/>
        </w:rPr>
        <w:t>Figure 2.</w:t>
      </w:r>
      <w:r w:rsidRPr="000F5CF3">
        <w:rPr>
          <w:rFonts w:ascii="Cambria" w:hAnsi="Cambria"/>
        </w:rPr>
        <w:t xml:space="preserve"> Weekly Refiner and Blender Net Production of Finished Gasoline: PADD3 (Gulf Coast) </w:t>
      </w:r>
    </w:p>
    <w:p w14:paraId="1028646F" w14:textId="77777777" w:rsidR="00221424" w:rsidRPr="000F5CF3" w:rsidRDefault="00221424" w:rsidP="00221424">
      <w:pPr>
        <w:rPr>
          <w:rFonts w:ascii="Cambria" w:hAnsi="Cambria"/>
        </w:rPr>
      </w:pPr>
      <w:r w:rsidRPr="000F5CF3">
        <w:rPr>
          <w:rFonts w:ascii="Cambria" w:hAnsi="Cambria"/>
        </w:rPr>
        <w:t xml:space="preserve">This disruption in production, coming shortly before </w:t>
      </w:r>
      <w:r w:rsidR="000466BC" w:rsidRPr="000F5CF3">
        <w:rPr>
          <w:rFonts w:ascii="Cambria" w:hAnsi="Cambria"/>
        </w:rPr>
        <w:t xml:space="preserve">both </w:t>
      </w:r>
      <w:r w:rsidRPr="000F5CF3">
        <w:rPr>
          <w:rFonts w:ascii="Cambria" w:hAnsi="Cambria"/>
        </w:rPr>
        <w:t>normal seasonal production slowdowns as refiners shift to the production of summer gasoline formulations a</w:t>
      </w:r>
      <w:r w:rsidR="00A2468D" w:rsidRPr="000F5CF3">
        <w:rPr>
          <w:rFonts w:ascii="Cambria" w:hAnsi="Cambria"/>
        </w:rPr>
        <w:t xml:space="preserve">s well as </w:t>
      </w:r>
      <w:r w:rsidRPr="000F5CF3">
        <w:rPr>
          <w:rFonts w:ascii="Cambria" w:hAnsi="Cambria"/>
        </w:rPr>
        <w:t>seasonal increases in demand,</w:t>
      </w:r>
      <w:r w:rsidR="00A2468D" w:rsidRPr="000F5CF3">
        <w:rPr>
          <w:rFonts w:ascii="Cambria" w:hAnsi="Cambria"/>
        </w:rPr>
        <w:t xml:space="preserve"> has resulted in a drawing down of finished gasoline stocks.  For the week ended April 2, total stocks of finished gasoline amounted to just over 19 million barrels – a record low.  Clearly, this situation offers strong fundamental support for gasoline prices, resulting in the sharp increases recently observed in most markets. </w:t>
      </w:r>
    </w:p>
    <w:p w14:paraId="78A1A23B" w14:textId="085E6AF6" w:rsidR="00A2468D" w:rsidRDefault="00A2468D" w:rsidP="00221424">
      <w:pPr>
        <w:rPr>
          <w:rFonts w:ascii="Cambria" w:hAnsi="Cambria"/>
        </w:rPr>
      </w:pPr>
      <w:r w:rsidRPr="000F5CF3">
        <w:rPr>
          <w:rFonts w:ascii="Cambria" w:hAnsi="Cambria"/>
        </w:rPr>
        <w:t xml:space="preserve">Looking ahead, despite expectations for strong seasonal demand, bolstered by a steady return to more normal post-pandemic activity, retail gasoline prices are likely to begin to moderate as the supply side of the market recovers from the recent shocks.  This appears to already be happening.  Total gasoline stocks, which include not only finished gasoline but also major gasoline blending components, have already turned up – recovering a bit faster than the market anticipated.  </w:t>
      </w:r>
      <w:r w:rsidR="00681766" w:rsidRPr="000F5CF3">
        <w:rPr>
          <w:rFonts w:ascii="Cambria" w:hAnsi="Cambria"/>
        </w:rPr>
        <w:t xml:space="preserve">The U.S. Department of Energy, Energy Information Administration released their </w:t>
      </w:r>
      <w:hyperlink r:id="rId7" w:history="1">
        <w:r w:rsidR="00681766" w:rsidRPr="000F5CF3">
          <w:rPr>
            <w:rStyle w:val="Hyperlink"/>
            <w:rFonts w:ascii="Cambria" w:hAnsi="Cambria"/>
          </w:rPr>
          <w:t>Summer Fuels Outlook</w:t>
        </w:r>
      </w:hyperlink>
      <w:r w:rsidR="00681766" w:rsidRPr="000F5CF3">
        <w:rPr>
          <w:rFonts w:ascii="Cambria" w:hAnsi="Cambria"/>
        </w:rPr>
        <w:t xml:space="preserve"> report on April 7.  This report projects a U.S. average gasoline price this summer of $2.78 per gallon, which is actually lower than the current price and back to about even with 2019’s summer gasoline prices.</w:t>
      </w:r>
      <w:r w:rsidR="000466BC" w:rsidRPr="000F5CF3">
        <w:rPr>
          <w:rFonts w:ascii="Cambria" w:hAnsi="Cambria"/>
        </w:rPr>
        <w:t xml:space="preserve">  </w:t>
      </w:r>
      <w:r w:rsidR="009F0BB0" w:rsidRPr="000F5CF3">
        <w:rPr>
          <w:rFonts w:ascii="Cambria" w:hAnsi="Cambria"/>
        </w:rPr>
        <w:t>So,</w:t>
      </w:r>
      <w:r w:rsidR="000466BC" w:rsidRPr="000F5CF3">
        <w:rPr>
          <w:rFonts w:ascii="Cambria" w:hAnsi="Cambria"/>
        </w:rPr>
        <w:t xml:space="preserve"> while gasoline prices will remain high relative to 2020’s depressed levels, the market appears to be settling </w:t>
      </w:r>
      <w:proofErr w:type="gramStart"/>
      <w:r w:rsidR="000466BC" w:rsidRPr="000F5CF3">
        <w:rPr>
          <w:rFonts w:ascii="Cambria" w:hAnsi="Cambria"/>
        </w:rPr>
        <w:t>in to</w:t>
      </w:r>
      <w:proofErr w:type="gramEnd"/>
      <w:r w:rsidR="000466BC" w:rsidRPr="000F5CF3">
        <w:rPr>
          <w:rFonts w:ascii="Cambria" w:hAnsi="Cambria"/>
        </w:rPr>
        <w:t xml:space="preserve"> </w:t>
      </w:r>
      <w:r w:rsidR="00D44D4D" w:rsidRPr="000F5CF3">
        <w:rPr>
          <w:rFonts w:ascii="Cambria" w:hAnsi="Cambria"/>
        </w:rPr>
        <w:t xml:space="preserve">a more stable </w:t>
      </w:r>
      <w:r w:rsidR="009F0BB0" w:rsidRPr="000F5CF3">
        <w:rPr>
          <w:rFonts w:ascii="Cambria" w:hAnsi="Cambria"/>
        </w:rPr>
        <w:t>equilibrium – hopefully one more mile marker on the road back to normal.</w:t>
      </w:r>
    </w:p>
    <w:p w14:paraId="293A1F5C" w14:textId="35D1C48B" w:rsidR="000F5CF3" w:rsidRDefault="000F5CF3" w:rsidP="00221424">
      <w:pPr>
        <w:rPr>
          <w:rFonts w:ascii="Cambria" w:hAnsi="Cambria"/>
        </w:rPr>
      </w:pPr>
    </w:p>
    <w:p w14:paraId="6880E860" w14:textId="77777777" w:rsidR="000F5CF3" w:rsidRPr="000F5CF3" w:rsidRDefault="000F5CF3" w:rsidP="000F5CF3">
      <w:pPr>
        <w:rPr>
          <w:rFonts w:ascii="Cambria" w:hAnsi="Cambria"/>
          <w:color w:val="767171" w:themeColor="background2" w:themeShade="80"/>
        </w:rPr>
      </w:pPr>
      <w:r w:rsidRPr="000F5CF3">
        <w:rPr>
          <w:rFonts w:ascii="Cambria" w:hAnsi="Cambria"/>
          <w:color w:val="767171" w:themeColor="background2" w:themeShade="80"/>
        </w:rPr>
        <w:t xml:space="preserve">The University of Arkansas System Division of Agriculture offers all its Extension and Research programs and services without regard to race, color, sex, gender identity, sexual orientation, </w:t>
      </w:r>
      <w:r w:rsidRPr="000F5CF3">
        <w:rPr>
          <w:rFonts w:ascii="Cambria" w:hAnsi="Cambria"/>
          <w:color w:val="767171" w:themeColor="background2" w:themeShade="80"/>
        </w:rPr>
        <w:lastRenderedPageBreak/>
        <w:t>national origin, religion, age, disability, marital or veteran status, genetic information, or any other legally protected status, and is an Affirmative Action/Equal Opportunity Employer.</w:t>
      </w:r>
    </w:p>
    <w:p w14:paraId="4B6DE435" w14:textId="77777777" w:rsidR="000F5CF3" w:rsidRPr="000F5CF3" w:rsidRDefault="000F5CF3" w:rsidP="00221424">
      <w:pPr>
        <w:rPr>
          <w:rFonts w:ascii="Cambria" w:hAnsi="Cambria"/>
        </w:rPr>
      </w:pPr>
    </w:p>
    <w:p w14:paraId="6BD99C34" w14:textId="77777777" w:rsidR="009F0BB0" w:rsidRPr="000F5CF3" w:rsidRDefault="009F0BB0" w:rsidP="00221424">
      <w:pPr>
        <w:rPr>
          <w:rFonts w:ascii="Cambria" w:hAnsi="Cambria"/>
        </w:rPr>
      </w:pPr>
    </w:p>
    <w:sectPr w:rsidR="009F0BB0" w:rsidRPr="000F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70"/>
    <w:rsid w:val="000466BC"/>
    <w:rsid w:val="000F5CF3"/>
    <w:rsid w:val="00221424"/>
    <w:rsid w:val="003571C5"/>
    <w:rsid w:val="004F1CD6"/>
    <w:rsid w:val="0055044C"/>
    <w:rsid w:val="00681766"/>
    <w:rsid w:val="00815DA7"/>
    <w:rsid w:val="00931470"/>
    <w:rsid w:val="009F0BB0"/>
    <w:rsid w:val="00A2468D"/>
    <w:rsid w:val="00AC583B"/>
    <w:rsid w:val="00B05A46"/>
    <w:rsid w:val="00C65E6D"/>
    <w:rsid w:val="00D4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A09F"/>
  <w15:chartTrackingRefBased/>
  <w15:docId w15:val="{547B7CAD-A6BF-4302-9320-14AC2F2C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766"/>
    <w:rPr>
      <w:color w:val="0563C1" w:themeColor="hyperlink"/>
      <w:u w:val="single"/>
    </w:rPr>
  </w:style>
  <w:style w:type="character" w:styleId="UnresolvedMention">
    <w:name w:val="Unresolved Mention"/>
    <w:basedOn w:val="DefaultParagraphFont"/>
    <w:uiPriority w:val="99"/>
    <w:semiHidden/>
    <w:unhideWhenUsed/>
    <w:rsid w:val="00681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ia.gov/outlooks/steo/report/summerfuel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emf"/><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1'!$E$1451</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'Data 1'!$B$1348:$B$1399</c:f>
              <c:numCache>
                <c:formatCode>General</c:formatCode>
                <c:ptCount val="52"/>
                <c:pt idx="0">
                  <c:v>2.3290000000000002</c:v>
                </c:pt>
                <c:pt idx="1">
                  <c:v>2.3380000000000001</c:v>
                </c:pt>
                <c:pt idx="2">
                  <c:v>2.34</c:v>
                </c:pt>
                <c:pt idx="3">
                  <c:v>2.343</c:v>
                </c:pt>
                <c:pt idx="4">
                  <c:v>2.3410000000000002</c:v>
                </c:pt>
                <c:pt idx="5">
                  <c:v>2.3610000000000002</c:v>
                </c:pt>
                <c:pt idx="6">
                  <c:v>2.4</c:v>
                </c:pt>
                <c:pt idx="7">
                  <c:v>2.4710000000000001</c:v>
                </c:pt>
                <c:pt idx="8">
                  <c:v>2.5019999999999998</c:v>
                </c:pt>
                <c:pt idx="9">
                  <c:v>2.5489999999999999</c:v>
                </c:pt>
                <c:pt idx="10">
                  <c:v>2.625</c:v>
                </c:pt>
                <c:pt idx="11">
                  <c:v>2.7010000000000001</c:v>
                </c:pt>
                <c:pt idx="12">
                  <c:v>2.77</c:v>
                </c:pt>
                <c:pt idx="13">
                  <c:v>2.8260000000000001</c:v>
                </c:pt>
                <c:pt idx="14">
                  <c:v>2.9119999999999999</c:v>
                </c:pt>
                <c:pt idx="15">
                  <c:v>2.9260000000000002</c:v>
                </c:pt>
                <c:pt idx="16">
                  <c:v>2.972</c:v>
                </c:pt>
                <c:pt idx="17">
                  <c:v>2.9830000000000001</c:v>
                </c:pt>
                <c:pt idx="18">
                  <c:v>2.9540000000000002</c:v>
                </c:pt>
                <c:pt idx="19">
                  <c:v>2.9390000000000001</c:v>
                </c:pt>
                <c:pt idx="20">
                  <c:v>2.9089999999999998</c:v>
                </c:pt>
                <c:pt idx="21">
                  <c:v>2.8929999999999998</c:v>
                </c:pt>
                <c:pt idx="22">
                  <c:v>2.8210000000000002</c:v>
                </c:pt>
                <c:pt idx="23">
                  <c:v>2.7589999999999999</c:v>
                </c:pt>
                <c:pt idx="24">
                  <c:v>2.7410000000000001</c:v>
                </c:pt>
                <c:pt idx="25">
                  <c:v>2.798</c:v>
                </c:pt>
                <c:pt idx="26">
                  <c:v>2.827</c:v>
                </c:pt>
                <c:pt idx="27">
                  <c:v>2.86</c:v>
                </c:pt>
                <c:pt idx="28">
                  <c:v>2.8330000000000002</c:v>
                </c:pt>
                <c:pt idx="29">
                  <c:v>2.798</c:v>
                </c:pt>
                <c:pt idx="30">
                  <c:v>2.7719999999999998</c:v>
                </c:pt>
                <c:pt idx="31">
                  <c:v>2.71</c:v>
                </c:pt>
                <c:pt idx="32">
                  <c:v>2.6840000000000002</c:v>
                </c:pt>
                <c:pt idx="33">
                  <c:v>2.661</c:v>
                </c:pt>
                <c:pt idx="34">
                  <c:v>2.6509999999999998</c:v>
                </c:pt>
                <c:pt idx="35">
                  <c:v>2.6379999999999999</c:v>
                </c:pt>
                <c:pt idx="36">
                  <c:v>2.64</c:v>
                </c:pt>
                <c:pt idx="37">
                  <c:v>2.7410000000000001</c:v>
                </c:pt>
                <c:pt idx="38">
                  <c:v>2.7370000000000001</c:v>
                </c:pt>
                <c:pt idx="39">
                  <c:v>2.742</c:v>
                </c:pt>
                <c:pt idx="40">
                  <c:v>2.7269999999999999</c:v>
                </c:pt>
                <c:pt idx="41">
                  <c:v>2.7349999999999999</c:v>
                </c:pt>
                <c:pt idx="42">
                  <c:v>2.6920000000000002</c:v>
                </c:pt>
                <c:pt idx="43">
                  <c:v>2.702</c:v>
                </c:pt>
                <c:pt idx="44">
                  <c:v>2.7109999999999999</c:v>
                </c:pt>
                <c:pt idx="45">
                  <c:v>2.6880000000000002</c:v>
                </c:pt>
                <c:pt idx="46">
                  <c:v>2.6720000000000002</c:v>
                </c:pt>
                <c:pt idx="47">
                  <c:v>2.6669999999999998</c:v>
                </c:pt>
                <c:pt idx="48">
                  <c:v>2.6520000000000001</c:v>
                </c:pt>
                <c:pt idx="49">
                  <c:v>2.6269999999999998</c:v>
                </c:pt>
                <c:pt idx="50">
                  <c:v>2.621</c:v>
                </c:pt>
                <c:pt idx="51">
                  <c:v>2.6579999999999999</c:v>
                </c:pt>
              </c:numCache>
            </c:numRef>
          </c:val>
          <c:smooth val="0"/>
          <c:extLst>
            <c:ext xmlns:c16="http://schemas.microsoft.com/office/drawing/2014/chart" uri="{C3380CC4-5D6E-409C-BE32-E72D297353CC}">
              <c16:uniqueId val="{00000000-C95C-4DA8-BBF4-1A1C3F013542}"/>
            </c:ext>
          </c:extLst>
        </c:ser>
        <c:ser>
          <c:idx val="1"/>
          <c:order val="1"/>
          <c:tx>
            <c:strRef>
              <c:f>'Data 1'!$E$1452</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'Data 1'!$B$1400:$B$1451</c:f>
              <c:numCache>
                <c:formatCode>General</c:formatCode>
                <c:ptCount val="52"/>
                <c:pt idx="0">
                  <c:v>2.665</c:v>
                </c:pt>
                <c:pt idx="1">
                  <c:v>2.657</c:v>
                </c:pt>
                <c:pt idx="2">
                  <c:v>2.625</c:v>
                </c:pt>
                <c:pt idx="3">
                  <c:v>2.5950000000000002</c:v>
                </c:pt>
                <c:pt idx="4">
                  <c:v>2.5459999999999998</c:v>
                </c:pt>
                <c:pt idx="5">
                  <c:v>2.5110000000000001</c:v>
                </c:pt>
                <c:pt idx="6">
                  <c:v>2.5179999999999998</c:v>
                </c:pt>
                <c:pt idx="7">
                  <c:v>2.5550000000000002</c:v>
                </c:pt>
                <c:pt idx="8">
                  <c:v>2.5139999999999998</c:v>
                </c:pt>
                <c:pt idx="9">
                  <c:v>2.468</c:v>
                </c:pt>
                <c:pt idx="10">
                  <c:v>2.343</c:v>
                </c:pt>
                <c:pt idx="11">
                  <c:v>2.2170000000000001</c:v>
                </c:pt>
                <c:pt idx="12">
                  <c:v>2.1030000000000002</c:v>
                </c:pt>
                <c:pt idx="13">
                  <c:v>2.0219999999999998</c:v>
                </c:pt>
                <c:pt idx="14">
                  <c:v>1.9510000000000001</c:v>
                </c:pt>
                <c:pt idx="15">
                  <c:v>1.91</c:v>
                </c:pt>
                <c:pt idx="16">
                  <c:v>1.87</c:v>
                </c:pt>
                <c:pt idx="17">
                  <c:v>1.883</c:v>
                </c:pt>
                <c:pt idx="18">
                  <c:v>1.9410000000000001</c:v>
                </c:pt>
                <c:pt idx="19">
                  <c:v>1.9690000000000001</c:v>
                </c:pt>
                <c:pt idx="20">
                  <c:v>2.0489999999999999</c:v>
                </c:pt>
                <c:pt idx="21">
                  <c:v>2.0640000000000001</c:v>
                </c:pt>
                <c:pt idx="22">
                  <c:v>2.1230000000000002</c:v>
                </c:pt>
                <c:pt idx="23">
                  <c:v>2.1850000000000001</c:v>
                </c:pt>
                <c:pt idx="24">
                  <c:v>2.2160000000000002</c:v>
                </c:pt>
                <c:pt idx="25">
                  <c:v>2.2599999999999998</c:v>
                </c:pt>
                <c:pt idx="26">
                  <c:v>2.2650000000000001</c:v>
                </c:pt>
                <c:pt idx="27">
                  <c:v>2.2829999999999999</c:v>
                </c:pt>
                <c:pt idx="28">
                  <c:v>2.2749999999999999</c:v>
                </c:pt>
                <c:pt idx="29">
                  <c:v>2.2650000000000001</c:v>
                </c:pt>
                <c:pt idx="30">
                  <c:v>2.266</c:v>
                </c:pt>
                <c:pt idx="31">
                  <c:v>2.2559999999999998</c:v>
                </c:pt>
                <c:pt idx="32">
                  <c:v>2.2559999999999998</c:v>
                </c:pt>
                <c:pt idx="33">
                  <c:v>2.2719999999999998</c:v>
                </c:pt>
                <c:pt idx="34">
                  <c:v>2.3109999999999999</c:v>
                </c:pt>
                <c:pt idx="35">
                  <c:v>2.302</c:v>
                </c:pt>
                <c:pt idx="36">
                  <c:v>2.274</c:v>
                </c:pt>
                <c:pt idx="37">
                  <c:v>2.2589999999999999</c:v>
                </c:pt>
                <c:pt idx="38">
                  <c:v>2.2589999999999999</c:v>
                </c:pt>
                <c:pt idx="39">
                  <c:v>2.262</c:v>
                </c:pt>
                <c:pt idx="40">
                  <c:v>2.2570000000000001</c:v>
                </c:pt>
                <c:pt idx="41">
                  <c:v>2.2400000000000002</c:v>
                </c:pt>
                <c:pt idx="42">
                  <c:v>2.234</c:v>
                </c:pt>
                <c:pt idx="43">
                  <c:v>2.2040000000000002</c:v>
                </c:pt>
                <c:pt idx="44">
                  <c:v>2.1880000000000002</c:v>
                </c:pt>
                <c:pt idx="45">
                  <c:v>2.202</c:v>
                </c:pt>
                <c:pt idx="46">
                  <c:v>2.194</c:v>
                </c:pt>
                <c:pt idx="47">
                  <c:v>2.2109999999999999</c:v>
                </c:pt>
                <c:pt idx="48">
                  <c:v>2.246</c:v>
                </c:pt>
                <c:pt idx="49">
                  <c:v>2.2469999999999999</c:v>
                </c:pt>
                <c:pt idx="50">
                  <c:v>2.3109999999999999</c:v>
                </c:pt>
                <c:pt idx="51">
                  <c:v>2.33</c:v>
                </c:pt>
              </c:numCache>
            </c:numRef>
          </c:val>
          <c:smooth val="0"/>
          <c:extLst>
            <c:ext xmlns:c16="http://schemas.microsoft.com/office/drawing/2014/chart" uri="{C3380CC4-5D6E-409C-BE32-E72D297353CC}">
              <c16:uniqueId val="{00000001-C95C-4DA8-BBF4-1A1C3F013542}"/>
            </c:ext>
          </c:extLst>
        </c:ser>
        <c:ser>
          <c:idx val="2"/>
          <c:order val="2"/>
          <c:tx>
            <c:strRef>
              <c:f>'Data 1'!$E$1453</c:f>
              <c:strCache>
                <c:ptCount val="1"/>
                <c:pt idx="0">
                  <c:v>2021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'Data 1'!$B$1452:$B$1503</c:f>
              <c:numCache>
                <c:formatCode>General</c:formatCode>
                <c:ptCount val="52"/>
                <c:pt idx="0">
                  <c:v>2.3359999999999999</c:v>
                </c:pt>
                <c:pt idx="1">
                  <c:v>2.403</c:v>
                </c:pt>
                <c:pt idx="2">
                  <c:v>2.464</c:v>
                </c:pt>
                <c:pt idx="3">
                  <c:v>2.4780000000000002</c:v>
                </c:pt>
                <c:pt idx="4">
                  <c:v>2.4950000000000001</c:v>
                </c:pt>
                <c:pt idx="5">
                  <c:v>2.548</c:v>
                </c:pt>
                <c:pt idx="6">
                  <c:v>2.5880000000000001</c:v>
                </c:pt>
                <c:pt idx="7">
                  <c:v>2.7170000000000001</c:v>
                </c:pt>
                <c:pt idx="8">
                  <c:v>2.7959999999999998</c:v>
                </c:pt>
                <c:pt idx="9">
                  <c:v>2.8570000000000002</c:v>
                </c:pt>
                <c:pt idx="10">
                  <c:v>2.94</c:v>
                </c:pt>
                <c:pt idx="11">
                  <c:v>2.9540000000000002</c:v>
                </c:pt>
                <c:pt idx="12">
                  <c:v>2.9409999999999998</c:v>
                </c:pt>
                <c:pt idx="13">
                  <c:v>2.9449999999999998</c:v>
                </c:pt>
              </c:numCache>
            </c:numRef>
          </c:val>
          <c:smooth val="0"/>
          <c:extLst>
            <c:ext xmlns:c16="http://schemas.microsoft.com/office/drawing/2014/chart" uri="{C3380CC4-5D6E-409C-BE32-E72D297353CC}">
              <c16:uniqueId val="{00000002-C95C-4DA8-BBF4-1A1C3F013542}"/>
            </c:ext>
          </c:extLst>
        </c:ser>
        <c:dLbls>
          <c:showLegendKey val="0"/>
          <c:showVal val="0"/>
          <c:showCatName val="0"/>
          <c:showSerName val="0"/>
          <c:showPercent val="0"/>
          <c:showBubbleSize val="0"/>
        </c:dLbls>
        <c:marker val="1"/>
        <c:smooth val="0"/>
        <c:axId val="5419312"/>
        <c:axId val="5444112"/>
      </c:lineChart>
      <c:catAx>
        <c:axId val="5419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112"/>
        <c:crosses val="autoZero"/>
        <c:auto val="1"/>
        <c:lblAlgn val="ctr"/>
        <c:lblOffset val="100"/>
        <c:noMultiLvlLbl val="0"/>
      </c:catAx>
      <c:valAx>
        <c:axId val="54441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 Gallon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1'!$F$1443</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'Data 1'!$B$1333:$B$1385</c:f>
              <c:numCache>
                <c:formatCode>General</c:formatCode>
                <c:ptCount val="53"/>
                <c:pt idx="0">
                  <c:v>2231</c:v>
                </c:pt>
                <c:pt idx="1">
                  <c:v>2448</c:v>
                </c:pt>
                <c:pt idx="2">
                  <c:v>2362</c:v>
                </c:pt>
                <c:pt idx="3">
                  <c:v>2316</c:v>
                </c:pt>
                <c:pt idx="4">
                  <c:v>2549</c:v>
                </c:pt>
                <c:pt idx="5">
                  <c:v>2302</c:v>
                </c:pt>
                <c:pt idx="6">
                  <c:v>2556</c:v>
                </c:pt>
                <c:pt idx="7">
                  <c:v>2544</c:v>
                </c:pt>
                <c:pt idx="8">
                  <c:v>2292</c:v>
                </c:pt>
                <c:pt idx="9">
                  <c:v>2359</c:v>
                </c:pt>
                <c:pt idx="10">
                  <c:v>2284</c:v>
                </c:pt>
                <c:pt idx="11">
                  <c:v>2373</c:v>
                </c:pt>
                <c:pt idx="12">
                  <c:v>2298</c:v>
                </c:pt>
                <c:pt idx="13">
                  <c:v>2365</c:v>
                </c:pt>
                <c:pt idx="14">
                  <c:v>2337</c:v>
                </c:pt>
                <c:pt idx="15">
                  <c:v>2245</c:v>
                </c:pt>
                <c:pt idx="16">
                  <c:v>2145</c:v>
                </c:pt>
                <c:pt idx="17">
                  <c:v>2305</c:v>
                </c:pt>
                <c:pt idx="18">
                  <c:v>2342</c:v>
                </c:pt>
                <c:pt idx="19">
                  <c:v>2298</c:v>
                </c:pt>
                <c:pt idx="20">
                  <c:v>2070</c:v>
                </c:pt>
                <c:pt idx="21">
                  <c:v>2354</c:v>
                </c:pt>
                <c:pt idx="22">
                  <c:v>2273</c:v>
                </c:pt>
                <c:pt idx="23">
                  <c:v>2309</c:v>
                </c:pt>
                <c:pt idx="24">
                  <c:v>2433</c:v>
                </c:pt>
                <c:pt idx="25">
                  <c:v>2129</c:v>
                </c:pt>
                <c:pt idx="26">
                  <c:v>2242</c:v>
                </c:pt>
                <c:pt idx="27">
                  <c:v>2191</c:v>
                </c:pt>
                <c:pt idx="28">
                  <c:v>2118</c:v>
                </c:pt>
                <c:pt idx="29">
                  <c:v>2117</c:v>
                </c:pt>
                <c:pt idx="30">
                  <c:v>2240</c:v>
                </c:pt>
                <c:pt idx="31">
                  <c:v>2334</c:v>
                </c:pt>
                <c:pt idx="32">
                  <c:v>2108</c:v>
                </c:pt>
                <c:pt idx="33">
                  <c:v>2262</c:v>
                </c:pt>
                <c:pt idx="34">
                  <c:v>2308</c:v>
                </c:pt>
                <c:pt idx="35">
                  <c:v>2250</c:v>
                </c:pt>
                <c:pt idx="36">
                  <c:v>2299</c:v>
                </c:pt>
                <c:pt idx="37">
                  <c:v>2125</c:v>
                </c:pt>
                <c:pt idx="38">
                  <c:v>2233</c:v>
                </c:pt>
                <c:pt idx="39">
                  <c:v>2200</c:v>
                </c:pt>
                <c:pt idx="40">
                  <c:v>2430</c:v>
                </c:pt>
                <c:pt idx="41">
                  <c:v>2269</c:v>
                </c:pt>
                <c:pt idx="42">
                  <c:v>2333</c:v>
                </c:pt>
                <c:pt idx="43">
                  <c:v>2457</c:v>
                </c:pt>
                <c:pt idx="44">
                  <c:v>2471</c:v>
                </c:pt>
                <c:pt idx="45">
                  <c:v>2405</c:v>
                </c:pt>
                <c:pt idx="46">
                  <c:v>2452</c:v>
                </c:pt>
                <c:pt idx="47">
                  <c:v>2442</c:v>
                </c:pt>
                <c:pt idx="48">
                  <c:v>2496</c:v>
                </c:pt>
                <c:pt idx="49">
                  <c:v>2378</c:v>
                </c:pt>
                <c:pt idx="50">
                  <c:v>2441</c:v>
                </c:pt>
                <c:pt idx="51">
                  <c:v>2504</c:v>
                </c:pt>
                <c:pt idx="52">
                  <c:v>2250</c:v>
                </c:pt>
              </c:numCache>
            </c:numRef>
          </c:val>
          <c:smooth val="0"/>
          <c:extLst>
            <c:ext xmlns:c16="http://schemas.microsoft.com/office/drawing/2014/chart" uri="{C3380CC4-5D6E-409C-BE32-E72D297353CC}">
              <c16:uniqueId val="{00000000-47A3-485B-A961-9997E9FB29FB}"/>
            </c:ext>
          </c:extLst>
        </c:ser>
        <c:ser>
          <c:idx val="1"/>
          <c:order val="1"/>
          <c:tx>
            <c:strRef>
              <c:f>'Data 1'!$F$1444</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'Data 1'!$B$1386:$B$1437</c:f>
              <c:numCache>
                <c:formatCode>General</c:formatCode>
                <c:ptCount val="52"/>
                <c:pt idx="0">
                  <c:v>2423</c:v>
                </c:pt>
                <c:pt idx="1">
                  <c:v>2293</c:v>
                </c:pt>
                <c:pt idx="2">
                  <c:v>2306</c:v>
                </c:pt>
                <c:pt idx="3">
                  <c:v>2325</c:v>
                </c:pt>
                <c:pt idx="4">
                  <c:v>2341</c:v>
                </c:pt>
                <c:pt idx="5">
                  <c:v>2241</c:v>
                </c:pt>
                <c:pt idx="6">
                  <c:v>2353</c:v>
                </c:pt>
                <c:pt idx="7">
                  <c:v>2215</c:v>
                </c:pt>
                <c:pt idx="8">
                  <c:v>2379</c:v>
                </c:pt>
                <c:pt idx="9">
                  <c:v>2236</c:v>
                </c:pt>
                <c:pt idx="10">
                  <c:v>2261</c:v>
                </c:pt>
                <c:pt idx="11">
                  <c:v>1895</c:v>
                </c:pt>
                <c:pt idx="12">
                  <c:v>1527</c:v>
                </c:pt>
                <c:pt idx="13">
                  <c:v>1569</c:v>
                </c:pt>
                <c:pt idx="14">
                  <c:v>1512</c:v>
                </c:pt>
                <c:pt idx="15">
                  <c:v>1691</c:v>
                </c:pt>
                <c:pt idx="16">
                  <c:v>1652</c:v>
                </c:pt>
                <c:pt idx="17">
                  <c:v>1572</c:v>
                </c:pt>
                <c:pt idx="18">
                  <c:v>1531</c:v>
                </c:pt>
                <c:pt idx="19">
                  <c:v>1731</c:v>
                </c:pt>
                <c:pt idx="20">
                  <c:v>1712</c:v>
                </c:pt>
                <c:pt idx="21">
                  <c:v>1864</c:v>
                </c:pt>
                <c:pt idx="22">
                  <c:v>1699</c:v>
                </c:pt>
                <c:pt idx="23">
                  <c:v>1974</c:v>
                </c:pt>
                <c:pt idx="24">
                  <c:v>1882</c:v>
                </c:pt>
                <c:pt idx="25">
                  <c:v>1903</c:v>
                </c:pt>
                <c:pt idx="26">
                  <c:v>1996</c:v>
                </c:pt>
                <c:pt idx="27">
                  <c:v>1852</c:v>
                </c:pt>
                <c:pt idx="28">
                  <c:v>1974</c:v>
                </c:pt>
                <c:pt idx="29">
                  <c:v>1865</c:v>
                </c:pt>
                <c:pt idx="30">
                  <c:v>2087</c:v>
                </c:pt>
                <c:pt idx="31">
                  <c:v>2312</c:v>
                </c:pt>
                <c:pt idx="32">
                  <c:v>2097</c:v>
                </c:pt>
                <c:pt idx="33">
                  <c:v>2040</c:v>
                </c:pt>
                <c:pt idx="34">
                  <c:v>1934</c:v>
                </c:pt>
                <c:pt idx="35">
                  <c:v>2096</c:v>
                </c:pt>
                <c:pt idx="36">
                  <c:v>2020</c:v>
                </c:pt>
                <c:pt idx="37">
                  <c:v>2122</c:v>
                </c:pt>
                <c:pt idx="38">
                  <c:v>2172</c:v>
                </c:pt>
                <c:pt idx="39">
                  <c:v>1987</c:v>
                </c:pt>
                <c:pt idx="40">
                  <c:v>1947</c:v>
                </c:pt>
                <c:pt idx="41">
                  <c:v>2118</c:v>
                </c:pt>
                <c:pt idx="42">
                  <c:v>2009</c:v>
                </c:pt>
                <c:pt idx="43">
                  <c:v>2153</c:v>
                </c:pt>
                <c:pt idx="44">
                  <c:v>2198</c:v>
                </c:pt>
                <c:pt idx="45">
                  <c:v>2229</c:v>
                </c:pt>
                <c:pt idx="46">
                  <c:v>2175</c:v>
                </c:pt>
                <c:pt idx="47">
                  <c:v>1971</c:v>
                </c:pt>
                <c:pt idx="48">
                  <c:v>2199</c:v>
                </c:pt>
                <c:pt idx="49">
                  <c:v>2145</c:v>
                </c:pt>
                <c:pt idx="50">
                  <c:v>2259</c:v>
                </c:pt>
                <c:pt idx="51">
                  <c:v>1984</c:v>
                </c:pt>
              </c:numCache>
            </c:numRef>
          </c:val>
          <c:smooth val="0"/>
          <c:extLst>
            <c:ext xmlns:c16="http://schemas.microsoft.com/office/drawing/2014/chart" uri="{C3380CC4-5D6E-409C-BE32-E72D297353CC}">
              <c16:uniqueId val="{00000001-47A3-485B-A961-9997E9FB29FB}"/>
            </c:ext>
          </c:extLst>
        </c:ser>
        <c:ser>
          <c:idx val="2"/>
          <c:order val="2"/>
          <c:tx>
            <c:strRef>
              <c:f>'Data 1'!$F$1445</c:f>
              <c:strCache>
                <c:ptCount val="1"/>
                <c:pt idx="0">
                  <c:v>2021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'Data 1'!$B$1438:$B$1489</c:f>
              <c:numCache>
                <c:formatCode>General</c:formatCode>
                <c:ptCount val="52"/>
                <c:pt idx="0">
                  <c:v>1824</c:v>
                </c:pt>
                <c:pt idx="1">
                  <c:v>2120</c:v>
                </c:pt>
                <c:pt idx="2">
                  <c:v>2250</c:v>
                </c:pt>
                <c:pt idx="3">
                  <c:v>1988</c:v>
                </c:pt>
                <c:pt idx="4">
                  <c:v>2109</c:v>
                </c:pt>
                <c:pt idx="5">
                  <c:v>2088</c:v>
                </c:pt>
                <c:pt idx="6">
                  <c:v>1522</c:v>
                </c:pt>
                <c:pt idx="7">
                  <c:v>1717</c:v>
                </c:pt>
                <c:pt idx="8">
                  <c:v>1781</c:v>
                </c:pt>
                <c:pt idx="9">
                  <c:v>2137</c:v>
                </c:pt>
                <c:pt idx="10">
                  <c:v>1971</c:v>
                </c:pt>
                <c:pt idx="11">
                  <c:v>2165</c:v>
                </c:pt>
                <c:pt idx="12">
                  <c:v>2173</c:v>
                </c:pt>
              </c:numCache>
            </c:numRef>
          </c:val>
          <c:smooth val="0"/>
          <c:extLst>
            <c:ext xmlns:c16="http://schemas.microsoft.com/office/drawing/2014/chart" uri="{C3380CC4-5D6E-409C-BE32-E72D297353CC}">
              <c16:uniqueId val="{00000002-47A3-485B-A961-9997E9FB29FB}"/>
            </c:ext>
          </c:extLst>
        </c:ser>
        <c:dLbls>
          <c:showLegendKey val="0"/>
          <c:showVal val="0"/>
          <c:showCatName val="0"/>
          <c:showSerName val="0"/>
          <c:showPercent val="0"/>
          <c:showBubbleSize val="0"/>
        </c:dLbls>
        <c:marker val="1"/>
        <c:smooth val="0"/>
        <c:axId val="382360800"/>
        <c:axId val="274876800"/>
      </c:lineChart>
      <c:catAx>
        <c:axId val="382360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876800"/>
        <c:crosses val="autoZero"/>
        <c:auto val="1"/>
        <c:lblAlgn val="ctr"/>
        <c:lblOffset val="100"/>
        <c:noMultiLvlLbl val="0"/>
      </c:catAx>
      <c:valAx>
        <c:axId val="2748768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1,000 barrels per day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36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F Hightower</cp:lastModifiedBy>
  <cp:revision>3</cp:revision>
  <dcterms:created xsi:type="dcterms:W3CDTF">2021-04-09T20:05:00Z</dcterms:created>
  <dcterms:modified xsi:type="dcterms:W3CDTF">2021-04-09T20:07:00Z</dcterms:modified>
</cp:coreProperties>
</file>