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9F893" w14:textId="5A02A0B3" w:rsidR="008E732F" w:rsidRDefault="008E732F" w:rsidP="002F3C19">
      <w:pPr>
        <w:shd w:val="clear" w:color="auto" w:fill="FFFFFF"/>
        <w:spacing w:after="0" w:line="240" w:lineRule="auto"/>
        <w:jc w:val="center"/>
        <w:rPr>
          <w:rFonts w:ascii="Cambria" w:eastAsia="Times New Roman" w:hAnsi="Cambria" w:cs="Times New Roman"/>
          <w:b/>
          <w:sz w:val="72"/>
          <w:szCs w:val="72"/>
        </w:rPr>
      </w:pPr>
      <w:r>
        <w:rPr>
          <w:rFonts w:ascii="Cambria" w:eastAsia="Times New Roman" w:hAnsi="Cambria" w:cs="Times New Roman"/>
          <w:b/>
          <w:noProof/>
          <w:sz w:val="72"/>
          <w:szCs w:val="72"/>
        </w:rPr>
        <w:drawing>
          <wp:anchor distT="0" distB="0" distL="114300" distR="114300" simplePos="0" relativeHeight="251658240" behindDoc="0" locked="0" layoutInCell="1" allowOverlap="1" wp14:anchorId="2C8C7D54" wp14:editId="31DBCC6B">
            <wp:simplePos x="0" y="0"/>
            <wp:positionH relativeFrom="column">
              <wp:posOffset>800100</wp:posOffset>
            </wp:positionH>
            <wp:positionV relativeFrom="paragraph">
              <wp:posOffset>-185737</wp:posOffset>
            </wp:positionV>
            <wp:extent cx="4355029" cy="1271588"/>
            <wp:effectExtent l="0" t="0" r="1270" b="0"/>
            <wp:wrapNone/>
            <wp:docPr id="3" name="Picture 3"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vOfAg-color-left-med-1.jpg"/>
                    <pic:cNvPicPr/>
                  </pic:nvPicPr>
                  <pic:blipFill rotWithShape="1">
                    <a:blip r:embed="rId4">
                      <a:extLst>
                        <a:ext uri="{28A0092B-C50C-407E-A947-70E740481C1C}">
                          <a14:useLocalDpi xmlns:a14="http://schemas.microsoft.com/office/drawing/2010/main" val="0"/>
                        </a:ext>
                      </a:extLst>
                    </a:blip>
                    <a:srcRect t="34656" b="35966"/>
                    <a:stretch/>
                  </pic:blipFill>
                  <pic:spPr bwMode="auto">
                    <a:xfrm>
                      <a:off x="0" y="0"/>
                      <a:ext cx="4355029" cy="12715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427D7A" w14:textId="2F1F2CB3" w:rsidR="008E732F" w:rsidRDefault="008E732F" w:rsidP="002F3C19">
      <w:pPr>
        <w:shd w:val="clear" w:color="auto" w:fill="FFFFFF"/>
        <w:spacing w:after="0" w:line="240" w:lineRule="auto"/>
        <w:jc w:val="center"/>
        <w:rPr>
          <w:rFonts w:ascii="Cambria" w:eastAsia="Times New Roman" w:hAnsi="Cambria" w:cs="Times New Roman"/>
          <w:b/>
          <w:sz w:val="72"/>
          <w:szCs w:val="72"/>
        </w:rPr>
      </w:pPr>
    </w:p>
    <w:p w14:paraId="60C7C6B2" w14:textId="77777777" w:rsidR="008E732F" w:rsidRDefault="008E732F" w:rsidP="002F3C19">
      <w:pPr>
        <w:shd w:val="clear" w:color="auto" w:fill="FFFFFF"/>
        <w:spacing w:after="0" w:line="240" w:lineRule="auto"/>
        <w:jc w:val="center"/>
        <w:rPr>
          <w:rFonts w:ascii="Cambria" w:eastAsia="Times New Roman" w:hAnsi="Cambria" w:cs="Times New Roman"/>
          <w:b/>
          <w:sz w:val="72"/>
          <w:szCs w:val="72"/>
        </w:rPr>
      </w:pPr>
    </w:p>
    <w:p w14:paraId="441C1E45" w14:textId="29D4B8F1" w:rsidR="002F3C19" w:rsidRPr="008E732F" w:rsidRDefault="002F3C19" w:rsidP="002F3C19">
      <w:pPr>
        <w:shd w:val="clear" w:color="auto" w:fill="FFFFFF"/>
        <w:spacing w:after="0" w:line="240" w:lineRule="auto"/>
        <w:jc w:val="center"/>
        <w:rPr>
          <w:rFonts w:ascii="Cambria" w:eastAsia="Times New Roman" w:hAnsi="Cambria" w:cs="Times New Roman"/>
          <w:b/>
          <w:sz w:val="72"/>
          <w:szCs w:val="72"/>
        </w:rPr>
      </w:pPr>
      <w:r w:rsidRPr="008E732F">
        <w:rPr>
          <w:rFonts w:ascii="Cambria" w:eastAsia="Times New Roman" w:hAnsi="Cambria" w:cs="Times New Roman"/>
          <w:b/>
          <w:sz w:val="72"/>
          <w:szCs w:val="72"/>
        </w:rPr>
        <w:t>COVID-19 Impacts on Arkansas’ Agricultural and Rural Economies</w:t>
      </w:r>
    </w:p>
    <w:p w14:paraId="05C227D8" w14:textId="77777777" w:rsidR="002F3C19" w:rsidRPr="008E732F" w:rsidRDefault="002F3C19" w:rsidP="002F3C19">
      <w:pPr>
        <w:shd w:val="clear" w:color="auto" w:fill="FFFFFF"/>
        <w:spacing w:after="0" w:line="240" w:lineRule="auto"/>
        <w:jc w:val="center"/>
        <w:rPr>
          <w:rFonts w:ascii="Cambria" w:eastAsia="Times New Roman" w:hAnsi="Cambria" w:cs="Times New Roman"/>
          <w:b/>
          <w:sz w:val="40"/>
          <w:szCs w:val="40"/>
        </w:rPr>
      </w:pPr>
    </w:p>
    <w:p w14:paraId="047F36BB" w14:textId="77777777" w:rsidR="00FF0C3E" w:rsidRPr="008E732F" w:rsidRDefault="00FF0C3E" w:rsidP="002F3C19">
      <w:pPr>
        <w:shd w:val="clear" w:color="auto" w:fill="FFFFFF"/>
        <w:spacing w:after="0" w:line="240" w:lineRule="auto"/>
        <w:jc w:val="center"/>
        <w:rPr>
          <w:rFonts w:ascii="Cambria" w:eastAsia="Times New Roman" w:hAnsi="Cambria" w:cs="Times New Roman"/>
          <w:b/>
          <w:sz w:val="40"/>
          <w:szCs w:val="40"/>
        </w:rPr>
      </w:pPr>
    </w:p>
    <w:p w14:paraId="1F634C52" w14:textId="77777777" w:rsidR="002F3C19" w:rsidRPr="008E732F" w:rsidRDefault="002F3C19" w:rsidP="002F3C19">
      <w:pPr>
        <w:shd w:val="clear" w:color="auto" w:fill="FFFFFF"/>
        <w:spacing w:after="0" w:line="240" w:lineRule="auto"/>
        <w:jc w:val="center"/>
        <w:rPr>
          <w:rFonts w:ascii="Cambria" w:eastAsia="Times New Roman" w:hAnsi="Cambria" w:cs="Times New Roman"/>
          <w:b/>
          <w:sz w:val="40"/>
          <w:szCs w:val="40"/>
        </w:rPr>
      </w:pPr>
      <w:r w:rsidRPr="008E732F">
        <w:rPr>
          <w:rFonts w:ascii="Cambria" w:eastAsia="Times New Roman" w:hAnsi="Cambria" w:cs="Times New Roman"/>
          <w:b/>
          <w:sz w:val="40"/>
          <w:szCs w:val="40"/>
        </w:rPr>
        <w:t xml:space="preserve">UPDATE: </w:t>
      </w:r>
      <w:r w:rsidR="006C74F0" w:rsidRPr="008E732F">
        <w:rPr>
          <w:rFonts w:ascii="Cambria" w:eastAsia="Times New Roman" w:hAnsi="Cambria" w:cs="Times New Roman"/>
          <w:b/>
          <w:sz w:val="40"/>
          <w:szCs w:val="40"/>
        </w:rPr>
        <w:t>Personal Consumption Expenditures</w:t>
      </w:r>
      <w:r w:rsidR="00A25FAA" w:rsidRPr="008E732F">
        <w:rPr>
          <w:rFonts w:ascii="Cambria" w:eastAsia="Times New Roman" w:hAnsi="Cambria" w:cs="Times New Roman"/>
          <w:b/>
          <w:sz w:val="40"/>
          <w:szCs w:val="40"/>
        </w:rPr>
        <w:t xml:space="preserve"> on Food and the Latest Restaurant Performance Index</w:t>
      </w:r>
    </w:p>
    <w:p w14:paraId="3F73BBF5" w14:textId="77777777" w:rsidR="002F3C19" w:rsidRPr="008E732F" w:rsidRDefault="002F3C19" w:rsidP="002F3C19">
      <w:pPr>
        <w:shd w:val="clear" w:color="auto" w:fill="FFFFFF"/>
        <w:spacing w:after="0" w:line="240" w:lineRule="auto"/>
        <w:rPr>
          <w:rFonts w:ascii="Cambria" w:eastAsia="Times New Roman" w:hAnsi="Cambria" w:cs="Times New Roman"/>
          <w:b/>
        </w:rPr>
      </w:pPr>
    </w:p>
    <w:p w14:paraId="55FE7B7F" w14:textId="77777777" w:rsidR="002F3C19" w:rsidRPr="008E732F" w:rsidRDefault="002F3C19" w:rsidP="002F3C19">
      <w:pPr>
        <w:shd w:val="clear" w:color="auto" w:fill="FFFFFF"/>
        <w:spacing w:after="0" w:line="240" w:lineRule="auto"/>
        <w:rPr>
          <w:rFonts w:ascii="Cambria" w:eastAsia="Times New Roman" w:hAnsi="Cambria" w:cs="Times New Roman"/>
          <w:b/>
        </w:rPr>
      </w:pPr>
    </w:p>
    <w:p w14:paraId="1ED49AA5" w14:textId="77777777" w:rsidR="002F3C19" w:rsidRPr="008E732F" w:rsidRDefault="002F3C19" w:rsidP="002F3C19">
      <w:pPr>
        <w:shd w:val="clear" w:color="auto" w:fill="FFFFFF"/>
        <w:spacing w:after="0" w:line="240" w:lineRule="auto"/>
        <w:jc w:val="center"/>
        <w:rPr>
          <w:rFonts w:ascii="Cambria" w:eastAsia="Times New Roman" w:hAnsi="Cambria" w:cs="Times New Roman"/>
          <w:b/>
        </w:rPr>
      </w:pPr>
      <w:r w:rsidRPr="008E732F">
        <w:rPr>
          <w:rFonts w:ascii="Cambria" w:eastAsia="Times New Roman" w:hAnsi="Cambria" w:cs="Times New Roman"/>
          <w:b/>
        </w:rPr>
        <w:t>Prepared by:</w:t>
      </w:r>
    </w:p>
    <w:p w14:paraId="5D3D67CF" w14:textId="77777777" w:rsidR="002F3C19" w:rsidRPr="008E732F" w:rsidRDefault="002F3C19" w:rsidP="002F3C19">
      <w:pPr>
        <w:shd w:val="clear" w:color="auto" w:fill="FFFFFF"/>
        <w:spacing w:after="0" w:line="240" w:lineRule="auto"/>
        <w:jc w:val="center"/>
        <w:rPr>
          <w:rFonts w:ascii="Cambria" w:eastAsia="Times New Roman" w:hAnsi="Cambria" w:cs="Times New Roman"/>
          <w:b/>
        </w:rPr>
      </w:pPr>
    </w:p>
    <w:p w14:paraId="17C44F10" w14:textId="77777777" w:rsidR="002F3C19" w:rsidRPr="008E732F" w:rsidRDefault="002F3C19" w:rsidP="002F3C19">
      <w:pPr>
        <w:shd w:val="clear" w:color="auto" w:fill="FFFFFF"/>
        <w:spacing w:after="0" w:line="240" w:lineRule="auto"/>
        <w:jc w:val="center"/>
        <w:rPr>
          <w:rFonts w:ascii="Cambria" w:eastAsia="Times New Roman" w:hAnsi="Cambria" w:cs="Times New Roman"/>
          <w:b/>
        </w:rPr>
      </w:pPr>
    </w:p>
    <w:p w14:paraId="6119CAA3" w14:textId="77777777" w:rsidR="002F3C19" w:rsidRPr="008E732F" w:rsidRDefault="002F3C19" w:rsidP="002F3C19">
      <w:pPr>
        <w:shd w:val="clear" w:color="auto" w:fill="FFFFFF"/>
        <w:spacing w:after="0" w:line="240" w:lineRule="auto"/>
        <w:jc w:val="center"/>
        <w:rPr>
          <w:rFonts w:ascii="Cambria" w:eastAsia="Times New Roman" w:hAnsi="Cambria" w:cs="Times New Roman"/>
          <w:b/>
        </w:rPr>
      </w:pPr>
      <w:r w:rsidRPr="008E732F">
        <w:rPr>
          <w:rFonts w:ascii="Cambria" w:eastAsia="Times New Roman" w:hAnsi="Cambria" w:cs="Times New Roman"/>
          <w:b/>
        </w:rPr>
        <w:t>John Anderson</w:t>
      </w:r>
    </w:p>
    <w:p w14:paraId="357FC767" w14:textId="77777777" w:rsidR="002F3C19" w:rsidRPr="008E732F" w:rsidRDefault="002F3C19" w:rsidP="002F3C19">
      <w:pPr>
        <w:shd w:val="clear" w:color="auto" w:fill="FFFFFF"/>
        <w:spacing w:after="0" w:line="240" w:lineRule="auto"/>
        <w:jc w:val="center"/>
        <w:rPr>
          <w:rFonts w:ascii="Cambria" w:eastAsia="Times New Roman" w:hAnsi="Cambria" w:cs="Times New Roman"/>
          <w:b/>
        </w:rPr>
      </w:pPr>
      <w:r w:rsidRPr="008E732F">
        <w:rPr>
          <w:rFonts w:ascii="Cambria" w:eastAsia="Times New Roman" w:hAnsi="Cambria" w:cs="Times New Roman"/>
          <w:b/>
        </w:rPr>
        <w:t xml:space="preserve">Department of Agricultural Economics and Agribusiness </w:t>
      </w:r>
    </w:p>
    <w:p w14:paraId="02117B63" w14:textId="77777777" w:rsidR="002F3C19" w:rsidRPr="008E732F" w:rsidRDefault="002F3C19" w:rsidP="002F3C19">
      <w:pPr>
        <w:shd w:val="clear" w:color="auto" w:fill="FFFFFF"/>
        <w:spacing w:after="0" w:line="240" w:lineRule="auto"/>
        <w:jc w:val="center"/>
        <w:rPr>
          <w:rFonts w:ascii="Cambria" w:eastAsia="Times New Roman" w:hAnsi="Cambria" w:cs="Times New Roman"/>
          <w:b/>
        </w:rPr>
      </w:pPr>
    </w:p>
    <w:p w14:paraId="73B72495" w14:textId="77777777" w:rsidR="002F3C19" w:rsidRPr="008E732F" w:rsidRDefault="002F3C19" w:rsidP="002F3C19">
      <w:pPr>
        <w:shd w:val="clear" w:color="auto" w:fill="FFFFFF"/>
        <w:spacing w:after="0" w:line="240" w:lineRule="auto"/>
        <w:jc w:val="center"/>
        <w:rPr>
          <w:rFonts w:ascii="Cambria" w:eastAsia="Times New Roman" w:hAnsi="Cambria" w:cs="Times New Roman"/>
          <w:b/>
        </w:rPr>
      </w:pPr>
    </w:p>
    <w:p w14:paraId="54035AFF" w14:textId="77777777" w:rsidR="002F3C19" w:rsidRPr="008E732F" w:rsidRDefault="002F3C19" w:rsidP="002F3C19">
      <w:pPr>
        <w:shd w:val="clear" w:color="auto" w:fill="FFFFFF"/>
        <w:spacing w:after="0" w:line="240" w:lineRule="auto"/>
        <w:jc w:val="center"/>
        <w:rPr>
          <w:rFonts w:ascii="Cambria" w:eastAsia="Times New Roman" w:hAnsi="Cambria" w:cs="Times New Roman"/>
          <w:b/>
        </w:rPr>
      </w:pPr>
    </w:p>
    <w:p w14:paraId="1FC6C493" w14:textId="77777777" w:rsidR="002F3C19" w:rsidRPr="008E732F" w:rsidRDefault="002F3C19" w:rsidP="002F3C19">
      <w:pPr>
        <w:shd w:val="clear" w:color="auto" w:fill="FFFFFF"/>
        <w:spacing w:after="0" w:line="240" w:lineRule="auto"/>
        <w:jc w:val="center"/>
        <w:rPr>
          <w:rFonts w:ascii="Cambria" w:eastAsia="Times New Roman" w:hAnsi="Cambria" w:cs="Times New Roman"/>
          <w:b/>
        </w:rPr>
      </w:pPr>
      <w:r w:rsidRPr="008E732F">
        <w:rPr>
          <w:rFonts w:ascii="Cambria" w:eastAsia="Times New Roman" w:hAnsi="Cambria" w:cs="Times New Roman"/>
          <w:b/>
        </w:rPr>
        <w:t xml:space="preserve">April </w:t>
      </w:r>
      <w:r w:rsidR="006C74F0" w:rsidRPr="008E732F">
        <w:rPr>
          <w:rFonts w:ascii="Cambria" w:eastAsia="Times New Roman" w:hAnsi="Cambria" w:cs="Times New Roman"/>
          <w:b/>
        </w:rPr>
        <w:t>30</w:t>
      </w:r>
      <w:r w:rsidRPr="008E732F">
        <w:rPr>
          <w:rFonts w:ascii="Cambria" w:eastAsia="Times New Roman" w:hAnsi="Cambria" w:cs="Times New Roman"/>
          <w:b/>
        </w:rPr>
        <w:t>, 2020</w:t>
      </w:r>
    </w:p>
    <w:p w14:paraId="2770105F" w14:textId="77777777" w:rsidR="002F3C19" w:rsidRPr="008E732F" w:rsidRDefault="002F3C19" w:rsidP="002F3C19">
      <w:pPr>
        <w:shd w:val="clear" w:color="auto" w:fill="FFFFFF"/>
        <w:spacing w:after="0" w:line="240" w:lineRule="auto"/>
        <w:jc w:val="center"/>
        <w:rPr>
          <w:rFonts w:ascii="Cambria" w:eastAsia="Times New Roman" w:hAnsi="Cambria" w:cs="Times New Roman"/>
          <w:b/>
        </w:rPr>
      </w:pPr>
    </w:p>
    <w:p w14:paraId="1130E59B" w14:textId="77777777" w:rsidR="005D7261" w:rsidRPr="008E732F" w:rsidRDefault="002F3C19" w:rsidP="005D7261">
      <w:pPr>
        <w:rPr>
          <w:rFonts w:ascii="Cambria" w:hAnsi="Cambria"/>
        </w:rPr>
      </w:pPr>
      <w:r w:rsidRPr="008E732F">
        <w:rPr>
          <w:rFonts w:ascii="Cambria" w:hAnsi="Cambria"/>
        </w:rPr>
        <w:br w:type="page"/>
      </w:r>
    </w:p>
    <w:p w14:paraId="1BE51DAA" w14:textId="644D5E6B" w:rsidR="00B65108" w:rsidRPr="008E732F" w:rsidRDefault="005D7261" w:rsidP="005A3638">
      <w:pPr>
        <w:rPr>
          <w:rFonts w:ascii="Cambria" w:hAnsi="Cambria"/>
        </w:rPr>
      </w:pPr>
      <w:r w:rsidRPr="008E732F">
        <w:rPr>
          <w:rFonts w:ascii="Cambria" w:hAnsi="Cambria"/>
        </w:rPr>
        <w:lastRenderedPageBreak/>
        <w:t>On the last day of April, the Bureau of Economic Analysis</w:t>
      </w:r>
      <w:r w:rsidR="008E732F">
        <w:rPr>
          <w:rFonts w:ascii="Cambria" w:hAnsi="Cambria"/>
        </w:rPr>
        <w:t xml:space="preserve">, or </w:t>
      </w:r>
      <w:r w:rsidRPr="008E732F">
        <w:rPr>
          <w:rFonts w:ascii="Cambria" w:hAnsi="Cambria"/>
        </w:rPr>
        <w:t>BEA</w:t>
      </w:r>
      <w:r w:rsidR="008E732F">
        <w:rPr>
          <w:rFonts w:ascii="Cambria" w:hAnsi="Cambria"/>
        </w:rPr>
        <w:t xml:space="preserve">, </w:t>
      </w:r>
      <w:r w:rsidRPr="008E732F">
        <w:rPr>
          <w:rFonts w:ascii="Cambria" w:hAnsi="Cambria"/>
        </w:rPr>
        <w:t xml:space="preserve">in the U.S. Department of Commerce released their </w:t>
      </w:r>
      <w:hyperlink r:id="rId5" w:history="1">
        <w:r w:rsidRPr="008E732F">
          <w:rPr>
            <w:rStyle w:val="Hyperlink"/>
            <w:rFonts w:ascii="Cambria" w:hAnsi="Cambria"/>
          </w:rPr>
          <w:t>monthly update on personal income and outlays</w:t>
        </w:r>
      </w:hyperlink>
      <w:r w:rsidR="005A3638" w:rsidRPr="008E732F">
        <w:rPr>
          <w:rFonts w:ascii="Cambria" w:hAnsi="Cambria"/>
        </w:rPr>
        <w:t>.</w:t>
      </w:r>
      <w:r w:rsidRPr="008E732F">
        <w:rPr>
          <w:rFonts w:ascii="Cambria" w:hAnsi="Cambria"/>
        </w:rPr>
        <w:t xml:space="preserve">  Data cover March 2020 and so only capture the beginning of the COVID-19 shutdown as businesses ceased or slowed down operations and many states issued stay-at-home orders.  Subsequent reports will reveal more about the impacts of this event, but the preliminary data already reveal some striking facts.</w:t>
      </w:r>
    </w:p>
    <w:p w14:paraId="3FAFB8A2" w14:textId="441CA8D3" w:rsidR="00BA70A8" w:rsidRPr="008E732F" w:rsidRDefault="005D7261" w:rsidP="005A3638">
      <w:pPr>
        <w:rPr>
          <w:rFonts w:ascii="Cambria" w:hAnsi="Cambria"/>
        </w:rPr>
      </w:pPr>
      <w:r w:rsidRPr="008E732F">
        <w:rPr>
          <w:rFonts w:ascii="Cambria" w:hAnsi="Cambria"/>
        </w:rPr>
        <w:t>Consumer spending changed in some fairly dramatic ways in March as the scale of the COVID-19 event became apparent.  In March, Real Personal Consumption Expenditures</w:t>
      </w:r>
      <w:r w:rsidR="008E732F">
        <w:rPr>
          <w:rFonts w:ascii="Cambria" w:hAnsi="Cambria"/>
        </w:rPr>
        <w:t xml:space="preserve">, or </w:t>
      </w:r>
      <w:r w:rsidRPr="008E732F">
        <w:rPr>
          <w:rFonts w:ascii="Cambria" w:hAnsi="Cambria"/>
        </w:rPr>
        <w:t>PCE</w:t>
      </w:r>
      <w:r w:rsidR="008E732F">
        <w:rPr>
          <w:rFonts w:ascii="Cambria" w:hAnsi="Cambria"/>
        </w:rPr>
        <w:t>,</w:t>
      </w:r>
      <w:r w:rsidRPr="008E732F">
        <w:rPr>
          <w:rFonts w:ascii="Cambria" w:hAnsi="Cambria"/>
        </w:rPr>
        <w:t xml:space="preserve"> dropped by 7.3% from the prior month.  That is a shocking </w:t>
      </w:r>
      <w:r w:rsidR="00A25FAA" w:rsidRPr="008E732F">
        <w:rPr>
          <w:rFonts w:ascii="Cambria" w:hAnsi="Cambria"/>
        </w:rPr>
        <w:t xml:space="preserve">month-to-month </w:t>
      </w:r>
      <w:r w:rsidRPr="008E732F">
        <w:rPr>
          <w:rFonts w:ascii="Cambria" w:hAnsi="Cambria"/>
        </w:rPr>
        <w:t xml:space="preserve">decline in PCE.  As a point of reference, in the 2008-2009 financial crisis, the largest monthly drop in PCE </w:t>
      </w:r>
      <w:r w:rsidR="00BA70A8" w:rsidRPr="008E732F">
        <w:rPr>
          <w:rFonts w:ascii="Cambria" w:hAnsi="Cambria"/>
        </w:rPr>
        <w:t>was just under 1 percent in September 2009.  In fact, the 7.3 percent decline in PCE is the largest monthly decline since the beginning of this data series in 1959.  Figure 1 shows the month-to-month percentage change in PCE from January 1980 through the most recent month.  The monthly decline in PCE posted last month is basically without precedent in the post-war era.</w:t>
      </w:r>
    </w:p>
    <w:p w14:paraId="534AE954" w14:textId="77777777" w:rsidR="00BA70A8" w:rsidRPr="008E732F" w:rsidRDefault="00BA70A8" w:rsidP="005A3638">
      <w:pPr>
        <w:rPr>
          <w:rFonts w:ascii="Cambria" w:hAnsi="Cambria"/>
        </w:rPr>
      </w:pPr>
      <w:r w:rsidRPr="008E732F">
        <w:rPr>
          <w:rFonts w:ascii="Cambria" w:hAnsi="Cambria"/>
          <w:noProof/>
        </w:rPr>
        <w:drawing>
          <wp:inline distT="0" distB="0" distL="0" distR="0" wp14:anchorId="663D619C" wp14:editId="5BD680A7">
            <wp:extent cx="5505451" cy="3419475"/>
            <wp:effectExtent l="0" t="0" r="0" b="0"/>
            <wp:docPr id="1" name="Chart 1">
              <a:extLst xmlns:a="http://schemas.openxmlformats.org/drawingml/2006/main">
                <a:ext uri="{FF2B5EF4-FFF2-40B4-BE49-F238E27FC236}">
                  <a16:creationId xmlns:a16="http://schemas.microsoft.com/office/drawing/2014/main" id="{17DB3786-FD78-4BB4-9DC0-8F51EAF9E3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BE62A7B" w14:textId="77777777" w:rsidR="00BA70A8" w:rsidRPr="008E732F" w:rsidRDefault="00BA70A8" w:rsidP="005A3638">
      <w:pPr>
        <w:rPr>
          <w:rFonts w:ascii="Cambria" w:hAnsi="Cambria"/>
          <w:sz w:val="20"/>
          <w:szCs w:val="20"/>
        </w:rPr>
      </w:pPr>
      <w:bookmarkStart w:id="0" w:name="_Hlk39153730"/>
      <w:r w:rsidRPr="008E732F">
        <w:rPr>
          <w:rFonts w:ascii="Cambria" w:hAnsi="Cambria"/>
          <w:sz w:val="20"/>
          <w:szCs w:val="20"/>
        </w:rPr>
        <w:t>Data Source: U.S. Department of Commerce, Bureau of Economic Analysis</w:t>
      </w:r>
    </w:p>
    <w:p w14:paraId="47F8B143" w14:textId="77777777" w:rsidR="005D7261" w:rsidRPr="008E732F" w:rsidRDefault="00BA70A8" w:rsidP="005A3638">
      <w:pPr>
        <w:rPr>
          <w:rFonts w:ascii="Cambria" w:hAnsi="Cambria"/>
        </w:rPr>
      </w:pPr>
      <w:r w:rsidRPr="008E732F">
        <w:rPr>
          <w:rFonts w:ascii="Cambria" w:hAnsi="Cambria"/>
          <w:b/>
        </w:rPr>
        <w:t>Figure 1.</w:t>
      </w:r>
      <w:r w:rsidRPr="008E732F">
        <w:rPr>
          <w:rFonts w:ascii="Cambria" w:hAnsi="Cambria"/>
        </w:rPr>
        <w:t xml:space="preserve">  Real Personal Consumption Expenditures: Percentage Change from Prior Month </w:t>
      </w:r>
    </w:p>
    <w:bookmarkEnd w:id="0"/>
    <w:p w14:paraId="2AB5257E" w14:textId="77777777" w:rsidR="005D7261" w:rsidRPr="008E732F" w:rsidRDefault="00BA70A8" w:rsidP="005A3638">
      <w:pPr>
        <w:rPr>
          <w:rFonts w:ascii="Cambria" w:hAnsi="Cambria"/>
        </w:rPr>
      </w:pPr>
      <w:r w:rsidRPr="008E732F">
        <w:rPr>
          <w:rFonts w:ascii="Cambria" w:hAnsi="Cambria"/>
        </w:rPr>
        <w:t>Not all categories of spending were down, however.  Spending on food was sharply higher in March</w:t>
      </w:r>
      <w:r w:rsidR="004607CF" w:rsidRPr="008E732F">
        <w:rPr>
          <w:rFonts w:ascii="Cambria" w:hAnsi="Cambria"/>
        </w:rPr>
        <w:t>: up over 19 percent</w:t>
      </w:r>
      <w:r w:rsidRPr="008E732F">
        <w:rPr>
          <w:rFonts w:ascii="Cambria" w:hAnsi="Cambria"/>
        </w:rPr>
        <w:t xml:space="preserve"> compared to the prior month.  A bit of explanation of that data is in order.  The category ‘Food’ in the monthly PCE data includes only food purchased for consumption at home – basically, grocery</w:t>
      </w:r>
      <w:r w:rsidR="0051301B" w:rsidRPr="008E732F">
        <w:rPr>
          <w:rFonts w:ascii="Cambria" w:hAnsi="Cambria"/>
        </w:rPr>
        <w:t xml:space="preserve"> and </w:t>
      </w:r>
      <w:r w:rsidRPr="008E732F">
        <w:rPr>
          <w:rFonts w:ascii="Cambria" w:hAnsi="Cambria"/>
        </w:rPr>
        <w:t xml:space="preserve">convenience store purchases of food.  Meals purchased at restaurants are classified as ‘Food Services’ and are </w:t>
      </w:r>
      <w:r w:rsidR="0051301B" w:rsidRPr="008E732F">
        <w:rPr>
          <w:rFonts w:ascii="Cambria" w:hAnsi="Cambria"/>
        </w:rPr>
        <w:t xml:space="preserve">aggregated into a general ‘Services’ category in the monthly data.  BEA does provide an annual breakdown of expenditures into narrower product categories.   This more granular presentation of the data separates ‘Food at Home’ and ‘Food Away from Home,’ allowing a comparison of the two.  That comparison is not available in the monthly data.  </w:t>
      </w:r>
    </w:p>
    <w:p w14:paraId="026C1790" w14:textId="77777777" w:rsidR="0051301B" w:rsidRPr="008E732F" w:rsidRDefault="0051301B" w:rsidP="005A3638">
      <w:pPr>
        <w:rPr>
          <w:rFonts w:ascii="Cambria" w:hAnsi="Cambria"/>
        </w:rPr>
      </w:pPr>
      <w:r w:rsidRPr="008E732F">
        <w:rPr>
          <w:rFonts w:ascii="Cambria" w:hAnsi="Cambria"/>
        </w:rPr>
        <w:lastRenderedPageBreak/>
        <w:t xml:space="preserve">Figure 2 shows the month-to-month percentage change in the ‘Food’ product category of PCE from January 1999 through the most recent month.  </w:t>
      </w:r>
    </w:p>
    <w:p w14:paraId="07D0990D" w14:textId="77777777" w:rsidR="0051301B" w:rsidRPr="008E732F" w:rsidRDefault="0051301B" w:rsidP="0051301B">
      <w:pPr>
        <w:rPr>
          <w:rFonts w:ascii="Cambria" w:hAnsi="Cambria"/>
          <w:sz w:val="20"/>
          <w:szCs w:val="20"/>
        </w:rPr>
      </w:pPr>
      <w:r w:rsidRPr="008E732F">
        <w:rPr>
          <w:rFonts w:ascii="Cambria" w:hAnsi="Cambria"/>
          <w:noProof/>
        </w:rPr>
        <w:drawing>
          <wp:inline distT="0" distB="0" distL="0" distR="0" wp14:anchorId="4F125E7C" wp14:editId="0EBF9065">
            <wp:extent cx="5505451" cy="3419475"/>
            <wp:effectExtent l="0" t="0" r="0" b="0"/>
            <wp:docPr id="2" name="Chart 2">
              <a:extLst xmlns:a="http://schemas.openxmlformats.org/drawingml/2006/main">
                <a:ext uri="{FF2B5EF4-FFF2-40B4-BE49-F238E27FC236}">
                  <a16:creationId xmlns:a16="http://schemas.microsoft.com/office/drawing/2014/main" id="{7DDA6886-C267-4B53-B52B-A7FBA27440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88C41DE" w14:textId="77777777" w:rsidR="0051301B" w:rsidRPr="008E732F" w:rsidRDefault="0051301B" w:rsidP="0051301B">
      <w:pPr>
        <w:spacing w:after="0"/>
        <w:rPr>
          <w:rFonts w:ascii="Cambria" w:hAnsi="Cambria"/>
          <w:sz w:val="20"/>
          <w:szCs w:val="20"/>
        </w:rPr>
      </w:pPr>
      <w:r w:rsidRPr="008E732F">
        <w:rPr>
          <w:rFonts w:ascii="Cambria" w:hAnsi="Cambria"/>
          <w:sz w:val="20"/>
          <w:szCs w:val="20"/>
        </w:rPr>
        <w:t>Data Source: U.S. Department of Commerce, Bureau of Economic Analysis</w:t>
      </w:r>
    </w:p>
    <w:p w14:paraId="67C7D0AE" w14:textId="77777777" w:rsidR="0051301B" w:rsidRPr="008E732F" w:rsidRDefault="0051301B" w:rsidP="0051301B">
      <w:pPr>
        <w:ind w:left="720" w:hanging="720"/>
        <w:rPr>
          <w:rFonts w:ascii="Cambria" w:hAnsi="Cambria"/>
          <w:iCs/>
          <w:sz w:val="20"/>
          <w:szCs w:val="20"/>
        </w:rPr>
      </w:pPr>
      <w:r w:rsidRPr="008E732F">
        <w:rPr>
          <w:rFonts w:ascii="Cambria" w:hAnsi="Cambria"/>
          <w:sz w:val="20"/>
          <w:szCs w:val="20"/>
        </w:rPr>
        <w:t xml:space="preserve">Note: </w:t>
      </w:r>
      <w:r w:rsidRPr="008E732F">
        <w:rPr>
          <w:rFonts w:ascii="Cambria" w:hAnsi="Cambria"/>
          <w:iCs/>
          <w:sz w:val="20"/>
          <w:szCs w:val="20"/>
        </w:rPr>
        <w:t>Food consists of food and beverages purchased for off-premises consumption; food services, which include purchased meals and beverages, are not classified as food.</w:t>
      </w:r>
    </w:p>
    <w:p w14:paraId="779D9B78" w14:textId="77777777" w:rsidR="0051301B" w:rsidRPr="008E732F" w:rsidRDefault="0051301B" w:rsidP="0051301B">
      <w:pPr>
        <w:rPr>
          <w:rFonts w:ascii="Cambria" w:hAnsi="Cambria"/>
        </w:rPr>
      </w:pPr>
      <w:r w:rsidRPr="008E732F">
        <w:rPr>
          <w:rFonts w:ascii="Cambria" w:hAnsi="Cambria"/>
          <w:b/>
        </w:rPr>
        <w:t>Figure 2.</w:t>
      </w:r>
      <w:r w:rsidRPr="008E732F">
        <w:rPr>
          <w:rFonts w:ascii="Cambria" w:hAnsi="Cambria"/>
        </w:rPr>
        <w:t xml:space="preserve">  Real Personal Consumption Expenditures on Food: Percentage Change from Prior Month </w:t>
      </w:r>
    </w:p>
    <w:p w14:paraId="746238E3" w14:textId="77777777" w:rsidR="0051301B" w:rsidRPr="008E732F" w:rsidRDefault="0051301B" w:rsidP="005A3638">
      <w:pPr>
        <w:rPr>
          <w:rFonts w:ascii="Cambria" w:hAnsi="Cambria"/>
        </w:rPr>
      </w:pPr>
      <w:r w:rsidRPr="008E732F">
        <w:rPr>
          <w:rFonts w:ascii="Cambria" w:hAnsi="Cambria"/>
        </w:rPr>
        <w:t xml:space="preserve">The choice of 1999 as the beginning point for this data series was not arbitrary.  The only surge in PCE on food even remotely comparable to the most recent month was in December 1999, which – as readers of a certain age will recall – coincided with a wave of food stockpiling associated with the Y2K scare.  In that month, PCE on food increased by </w:t>
      </w:r>
      <w:r w:rsidR="004607CF" w:rsidRPr="008E732F">
        <w:rPr>
          <w:rFonts w:ascii="Cambria" w:hAnsi="Cambria"/>
        </w:rPr>
        <w:t>4.8 percent, month-</w:t>
      </w:r>
      <w:r w:rsidR="00A25FAA" w:rsidRPr="008E732F">
        <w:rPr>
          <w:rFonts w:ascii="Cambria" w:hAnsi="Cambria"/>
        </w:rPr>
        <w:t>to</w:t>
      </w:r>
      <w:r w:rsidR="004607CF" w:rsidRPr="008E732F">
        <w:rPr>
          <w:rFonts w:ascii="Cambria" w:hAnsi="Cambria"/>
        </w:rPr>
        <w:t>-month.  Two difference</w:t>
      </w:r>
      <w:r w:rsidR="00A25FAA" w:rsidRPr="008E732F">
        <w:rPr>
          <w:rFonts w:ascii="Cambria" w:hAnsi="Cambria"/>
        </w:rPr>
        <w:t>s</w:t>
      </w:r>
      <w:r w:rsidR="004607CF" w:rsidRPr="008E732F">
        <w:rPr>
          <w:rFonts w:ascii="Cambria" w:hAnsi="Cambria"/>
        </w:rPr>
        <w:t xml:space="preserve"> between the COVID-19 shutdowns and the Y2K event are </w:t>
      </w:r>
      <w:r w:rsidR="00A25FAA" w:rsidRPr="008E732F">
        <w:rPr>
          <w:rFonts w:ascii="Cambria" w:hAnsi="Cambria"/>
        </w:rPr>
        <w:t xml:space="preserve">readily </w:t>
      </w:r>
      <w:r w:rsidR="004607CF" w:rsidRPr="008E732F">
        <w:rPr>
          <w:rFonts w:ascii="Cambria" w:hAnsi="Cambria"/>
        </w:rPr>
        <w:t xml:space="preserve">apparent.  First, the Y2K event was anticipated many months in advance.  </w:t>
      </w:r>
      <w:r w:rsidR="00A25FAA" w:rsidRPr="008E732F">
        <w:rPr>
          <w:rFonts w:ascii="Cambria" w:hAnsi="Cambria"/>
        </w:rPr>
        <w:t>C</w:t>
      </w:r>
      <w:r w:rsidR="004607CF" w:rsidRPr="008E732F">
        <w:rPr>
          <w:rFonts w:ascii="Cambria" w:hAnsi="Cambria"/>
        </w:rPr>
        <w:t>onsumers</w:t>
      </w:r>
      <w:r w:rsidR="00A25FAA" w:rsidRPr="008E732F">
        <w:rPr>
          <w:rFonts w:ascii="Cambria" w:hAnsi="Cambria"/>
        </w:rPr>
        <w:t xml:space="preserve"> had ample opportunity to</w:t>
      </w:r>
      <w:r w:rsidR="004607CF" w:rsidRPr="008E732F">
        <w:rPr>
          <w:rFonts w:ascii="Cambria" w:hAnsi="Cambria"/>
        </w:rPr>
        <w:t xml:space="preserve"> gradually buil</w:t>
      </w:r>
      <w:r w:rsidR="00A25FAA" w:rsidRPr="008E732F">
        <w:rPr>
          <w:rFonts w:ascii="Cambria" w:hAnsi="Cambria"/>
        </w:rPr>
        <w:t>d</w:t>
      </w:r>
      <w:r w:rsidR="004607CF" w:rsidRPr="008E732F">
        <w:rPr>
          <w:rFonts w:ascii="Cambria" w:hAnsi="Cambria"/>
        </w:rPr>
        <w:t xml:space="preserve"> up </w:t>
      </w:r>
      <w:r w:rsidR="00A25FAA" w:rsidRPr="008E732F">
        <w:rPr>
          <w:rFonts w:ascii="Cambria" w:hAnsi="Cambria"/>
        </w:rPr>
        <w:t xml:space="preserve">supplies of </w:t>
      </w:r>
      <w:r w:rsidR="004607CF" w:rsidRPr="008E732F">
        <w:rPr>
          <w:rFonts w:ascii="Cambria" w:hAnsi="Cambria"/>
        </w:rPr>
        <w:t>non-perishable food items over a longer period of time than was possible in the current round of panic buying.  Second, and more significantly, food service did not shut down in December 1999.  In the COVID-19 shutdown, consumers were essentially forced to shift almost the entirety of their food purchases to grocery retail.  The surge in PCE for food illustrates how significant, and disruptive, that shift was.</w:t>
      </w:r>
    </w:p>
    <w:p w14:paraId="772D44B0" w14:textId="77777777" w:rsidR="004607CF" w:rsidRPr="008E732F" w:rsidRDefault="004607CF" w:rsidP="005A3638">
      <w:pPr>
        <w:rPr>
          <w:rFonts w:ascii="Cambria" w:hAnsi="Cambria"/>
        </w:rPr>
      </w:pPr>
      <w:r w:rsidRPr="008E732F">
        <w:rPr>
          <w:rFonts w:ascii="Cambria" w:hAnsi="Cambria"/>
        </w:rPr>
        <w:t xml:space="preserve">As noted, the purchase of food away from home is embedded in the ‘Services’ category of the monthly PCE data.  Obviously, other services were curtailed in the COVID-19 shutdown as well.  Many service-providing businesses (e.g., hair salons) were closed outright in most jurisdictions of the country.  Others (e.g., auto mechanics) stayed opened but almost certainly saw sharp declines in their activity as consumers stayed home, either by choice or as a result of stay-at-home orders.  The upshot of all this is that spending on services fell sharply in March.  As a broad category, PCE on </w:t>
      </w:r>
      <w:r w:rsidRPr="008E732F">
        <w:rPr>
          <w:rFonts w:ascii="Cambria" w:hAnsi="Cambria"/>
        </w:rPr>
        <w:lastRenderedPageBreak/>
        <w:t xml:space="preserve">services declined by 9.5 percent – as with the previous categories, the is the largest decline in the data series.  </w:t>
      </w:r>
    </w:p>
    <w:p w14:paraId="1EB10741" w14:textId="77777777" w:rsidR="00347786" w:rsidRPr="008E732F" w:rsidRDefault="00347786" w:rsidP="005A3638">
      <w:pPr>
        <w:rPr>
          <w:rFonts w:ascii="Cambria" w:hAnsi="Cambria"/>
        </w:rPr>
      </w:pPr>
      <w:r w:rsidRPr="008E732F">
        <w:rPr>
          <w:rFonts w:ascii="Cambria" w:hAnsi="Cambria"/>
        </w:rPr>
        <w:t xml:space="preserve">While we can’t </w:t>
      </w:r>
      <w:r w:rsidR="00A25FAA" w:rsidRPr="008E732F">
        <w:rPr>
          <w:rFonts w:ascii="Cambria" w:hAnsi="Cambria"/>
        </w:rPr>
        <w:t xml:space="preserve">yet </w:t>
      </w:r>
      <w:r w:rsidRPr="008E732F">
        <w:rPr>
          <w:rFonts w:ascii="Cambria" w:hAnsi="Cambria"/>
        </w:rPr>
        <w:t xml:space="preserve">tease out what happened </w:t>
      </w:r>
      <w:r w:rsidR="00A25FAA" w:rsidRPr="008E732F">
        <w:rPr>
          <w:rFonts w:ascii="Cambria" w:hAnsi="Cambria"/>
        </w:rPr>
        <w:t xml:space="preserve">specifically </w:t>
      </w:r>
      <w:r w:rsidRPr="008E732F">
        <w:rPr>
          <w:rFonts w:ascii="Cambria" w:hAnsi="Cambria"/>
        </w:rPr>
        <w:t xml:space="preserve">with restaurant spending, we do know that it fell sharply.  The National Restaurant Association publishes a monthly Restaurant Performance Index (RPI) based on a survey of restaurants around the nation.  The </w:t>
      </w:r>
      <w:hyperlink r:id="rId8" w:history="1">
        <w:r w:rsidRPr="008E732F">
          <w:rPr>
            <w:rStyle w:val="Hyperlink"/>
            <w:rFonts w:ascii="Cambria" w:hAnsi="Cambria"/>
          </w:rPr>
          <w:t xml:space="preserve">RPI </w:t>
        </w:r>
        <w:r w:rsidRPr="008E732F">
          <w:rPr>
            <w:rStyle w:val="Hyperlink"/>
            <w:rFonts w:ascii="Cambria" w:hAnsi="Cambria"/>
          </w:rPr>
          <w:t>f</w:t>
        </w:r>
        <w:r w:rsidRPr="008E732F">
          <w:rPr>
            <w:rStyle w:val="Hyperlink"/>
            <w:rFonts w:ascii="Cambria" w:hAnsi="Cambria"/>
          </w:rPr>
          <w:t>or March</w:t>
        </w:r>
      </w:hyperlink>
      <w:r w:rsidRPr="008E732F">
        <w:rPr>
          <w:rFonts w:ascii="Cambria" w:hAnsi="Cambria"/>
        </w:rPr>
        <w:t xml:space="preserve"> was also released on April 30, and was – not surprisingly – disastrous.  The RPI is an index assessing the current situation as well as near-term expectations as assessed by restaurant operators. A value of 100 is neutral; values above 100 connote industry expansion; values below 100 connote industry contraction.  The RPI for March stood at 95: the lowest level on record and a sharp swing from February’s positive value of 101.9.  For a point of reference, the RPI’s previous low point was in the midst of the </w:t>
      </w:r>
      <w:r w:rsidR="00A25FAA" w:rsidRPr="008E732F">
        <w:rPr>
          <w:rFonts w:ascii="Cambria" w:hAnsi="Cambria"/>
        </w:rPr>
        <w:t>last</w:t>
      </w:r>
      <w:r w:rsidRPr="008E732F">
        <w:rPr>
          <w:rFonts w:ascii="Cambria" w:hAnsi="Cambria"/>
        </w:rPr>
        <w:t xml:space="preserve"> financial crisis</w:t>
      </w:r>
      <w:r w:rsidR="00A25FAA" w:rsidRPr="008E732F">
        <w:rPr>
          <w:rFonts w:ascii="Cambria" w:hAnsi="Cambria"/>
        </w:rPr>
        <w:t xml:space="preserve"> in 2009</w:t>
      </w:r>
      <w:r w:rsidRPr="008E732F">
        <w:rPr>
          <w:rFonts w:ascii="Cambria" w:hAnsi="Cambria"/>
        </w:rPr>
        <w:t xml:space="preserve">, when it fell to around 96.5.  Looking ahead, restaurant operators are not optimistic for a quick recovery.  In the National Restaurant Association’s survey, </w:t>
      </w:r>
      <w:r w:rsidR="00582D8A" w:rsidRPr="008E732F">
        <w:rPr>
          <w:rFonts w:ascii="Cambria" w:hAnsi="Cambria"/>
        </w:rPr>
        <w:t>almost three-quarters of respondents expected year-over-year sales to still be down six months from now.</w:t>
      </w:r>
    </w:p>
    <w:p w14:paraId="08701113" w14:textId="1A858D4F" w:rsidR="00FF5CF9" w:rsidRPr="008E732F" w:rsidRDefault="00FF5CF9" w:rsidP="005A3638">
      <w:pPr>
        <w:rPr>
          <w:rFonts w:ascii="Cambria" w:hAnsi="Cambria"/>
        </w:rPr>
      </w:pPr>
      <w:r w:rsidRPr="008E732F">
        <w:rPr>
          <w:rFonts w:ascii="Cambria" w:hAnsi="Cambria"/>
        </w:rPr>
        <w:t xml:space="preserve">Already, the COVID-19 shutdown has had an unprecedented impact on consumer spending: this, despite the fact that the event was not fully underway until well into the latter half of the month.  April data will reflect a national economy that was largely on lockdown for the entire month and so </w:t>
      </w:r>
      <w:r w:rsidR="00A25FAA" w:rsidRPr="008E732F">
        <w:rPr>
          <w:rFonts w:ascii="Cambria" w:hAnsi="Cambria"/>
        </w:rPr>
        <w:t>will almost certainly</w:t>
      </w:r>
      <w:r w:rsidRPr="008E732F">
        <w:rPr>
          <w:rFonts w:ascii="Cambria" w:hAnsi="Cambria"/>
        </w:rPr>
        <w:t xml:space="preserve"> show further significant declines in total PCE and spending on services.  Spending on food will likely also fall sharply month-over-month as surge in panic buying had passed and aggressive shelter-in-place </w:t>
      </w:r>
      <w:r w:rsidR="00A25FAA" w:rsidRPr="008E732F">
        <w:rPr>
          <w:rFonts w:ascii="Cambria" w:hAnsi="Cambria"/>
        </w:rPr>
        <w:t xml:space="preserve">orders </w:t>
      </w:r>
      <w:r w:rsidRPr="008E732F">
        <w:rPr>
          <w:rFonts w:ascii="Cambria" w:hAnsi="Cambria"/>
        </w:rPr>
        <w:t xml:space="preserve">took hold in many markets.  The April data will </w:t>
      </w:r>
      <w:r w:rsidR="00A25FAA" w:rsidRPr="008E732F">
        <w:rPr>
          <w:rFonts w:ascii="Cambria" w:hAnsi="Cambria"/>
        </w:rPr>
        <w:t xml:space="preserve">help to show the depth of the hole that has been dug but will </w:t>
      </w:r>
      <w:r w:rsidRPr="008E732F">
        <w:rPr>
          <w:rFonts w:ascii="Cambria" w:hAnsi="Cambria"/>
        </w:rPr>
        <w:t>reveal little, if anything, about prospects for recovery.  That will have to wait until Ma</w:t>
      </w:r>
      <w:r w:rsidR="00A25FAA" w:rsidRPr="008E732F">
        <w:rPr>
          <w:rFonts w:ascii="Cambria" w:hAnsi="Cambria"/>
        </w:rPr>
        <w:t>y and beyond.</w:t>
      </w:r>
    </w:p>
    <w:p w14:paraId="4E4BABD1" w14:textId="77777777" w:rsidR="00A25FAA" w:rsidRPr="008E732F" w:rsidRDefault="00A25FAA" w:rsidP="005A3638">
      <w:pPr>
        <w:rPr>
          <w:rFonts w:ascii="Cambria" w:hAnsi="Cambria"/>
        </w:rPr>
      </w:pPr>
    </w:p>
    <w:p w14:paraId="480B4751" w14:textId="77777777" w:rsidR="00582D8A" w:rsidRPr="008E732F" w:rsidRDefault="00FF5CF9" w:rsidP="005A3638">
      <w:pPr>
        <w:rPr>
          <w:rFonts w:ascii="Cambria" w:hAnsi="Cambria"/>
        </w:rPr>
      </w:pPr>
      <w:r w:rsidRPr="008E732F">
        <w:rPr>
          <w:rFonts w:ascii="Cambria" w:hAnsi="Cambria"/>
        </w:rPr>
        <w:t xml:space="preserve"> </w:t>
      </w:r>
    </w:p>
    <w:p w14:paraId="73BBD8D2" w14:textId="77777777" w:rsidR="00582D8A" w:rsidRPr="008E732F" w:rsidRDefault="00582D8A" w:rsidP="005A3638">
      <w:pPr>
        <w:rPr>
          <w:rFonts w:ascii="Cambria" w:hAnsi="Cambria"/>
        </w:rPr>
      </w:pPr>
    </w:p>
    <w:p w14:paraId="0879EDCC" w14:textId="77777777" w:rsidR="005D7261" w:rsidRPr="008E732F" w:rsidRDefault="005D7261" w:rsidP="005A3638">
      <w:pPr>
        <w:rPr>
          <w:rFonts w:ascii="Cambria" w:hAnsi="Cambria"/>
        </w:rPr>
      </w:pPr>
    </w:p>
    <w:p w14:paraId="48A4682D" w14:textId="77777777" w:rsidR="002F3C19" w:rsidRPr="008E732F" w:rsidRDefault="002F3C19">
      <w:pPr>
        <w:rPr>
          <w:rFonts w:ascii="Cambria" w:hAnsi="Cambria"/>
        </w:rPr>
      </w:pPr>
    </w:p>
    <w:sectPr w:rsidR="002F3C19" w:rsidRPr="008E7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19"/>
    <w:rsid w:val="000F26EF"/>
    <w:rsid w:val="00165B26"/>
    <w:rsid w:val="001B0892"/>
    <w:rsid w:val="0027667F"/>
    <w:rsid w:val="002F3C19"/>
    <w:rsid w:val="002F57A8"/>
    <w:rsid w:val="00307E8B"/>
    <w:rsid w:val="00323F35"/>
    <w:rsid w:val="00333AF4"/>
    <w:rsid w:val="00347786"/>
    <w:rsid w:val="00362BA5"/>
    <w:rsid w:val="003A0A09"/>
    <w:rsid w:val="004607CF"/>
    <w:rsid w:val="004A3E20"/>
    <w:rsid w:val="004B57FA"/>
    <w:rsid w:val="004B5A32"/>
    <w:rsid w:val="004C721C"/>
    <w:rsid w:val="0051301B"/>
    <w:rsid w:val="00582D8A"/>
    <w:rsid w:val="005A3638"/>
    <w:rsid w:val="005B0E04"/>
    <w:rsid w:val="005D17DA"/>
    <w:rsid w:val="005D7261"/>
    <w:rsid w:val="006B4454"/>
    <w:rsid w:val="006C74F0"/>
    <w:rsid w:val="00802549"/>
    <w:rsid w:val="008A0499"/>
    <w:rsid w:val="008E732F"/>
    <w:rsid w:val="009A1BA5"/>
    <w:rsid w:val="00A25FAA"/>
    <w:rsid w:val="00A5247D"/>
    <w:rsid w:val="00AA597D"/>
    <w:rsid w:val="00B153C2"/>
    <w:rsid w:val="00B65108"/>
    <w:rsid w:val="00BA70A8"/>
    <w:rsid w:val="00C71B1A"/>
    <w:rsid w:val="00D060FE"/>
    <w:rsid w:val="00D272E6"/>
    <w:rsid w:val="00DE3101"/>
    <w:rsid w:val="00E05DAC"/>
    <w:rsid w:val="00E450BE"/>
    <w:rsid w:val="00FF0C3E"/>
    <w:rsid w:val="00FF5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2F926"/>
  <w15:chartTrackingRefBased/>
  <w15:docId w15:val="{291F7F8C-2ED3-4956-999F-010B7FAF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499"/>
    <w:rPr>
      <w:color w:val="0563C1" w:themeColor="hyperlink"/>
      <w:u w:val="single"/>
    </w:rPr>
  </w:style>
  <w:style w:type="character" w:styleId="UnresolvedMention">
    <w:name w:val="Unresolved Mention"/>
    <w:basedOn w:val="DefaultParagraphFont"/>
    <w:uiPriority w:val="99"/>
    <w:semiHidden/>
    <w:unhideWhenUsed/>
    <w:rsid w:val="005A3638"/>
    <w:rPr>
      <w:color w:val="605E5C"/>
      <w:shd w:val="clear" w:color="auto" w:fill="E1DFDD"/>
    </w:rPr>
  </w:style>
  <w:style w:type="table" w:styleId="TableGrid">
    <w:name w:val="Table Grid"/>
    <w:basedOn w:val="TableNormal"/>
    <w:uiPriority w:val="39"/>
    <w:rsid w:val="00513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E73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81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taurant.org/Downloads/PDFs/Research/index/RPI-March2020.pdf" TargetMode="Externa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hyperlink" Target="https://www.bea.gov/news/2020/personal-income-and-outlays-march-2020"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numRef>
              <c:f>Sheet3!$A$257:$A$739</c:f>
              <c:numCache>
                <c:formatCode>General</c:formatCode>
                <c:ptCount val="483"/>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numCache>
            </c:numRef>
          </c:cat>
          <c:val>
            <c:numRef>
              <c:f>Sheet3!$C$257:$C$739</c:f>
              <c:numCache>
                <c:formatCode>General</c:formatCode>
                <c:ptCount val="483"/>
                <c:pt idx="0">
                  <c:v>0.8</c:v>
                </c:pt>
                <c:pt idx="1">
                  <c:v>-0.8</c:v>
                </c:pt>
                <c:pt idx="2">
                  <c:v>-0.8</c:v>
                </c:pt>
                <c:pt idx="3">
                  <c:v>-1.3</c:v>
                </c:pt>
                <c:pt idx="4">
                  <c:v>-0.5</c:v>
                </c:pt>
                <c:pt idx="5">
                  <c:v>0.5</c:v>
                </c:pt>
                <c:pt idx="6">
                  <c:v>0.9</c:v>
                </c:pt>
                <c:pt idx="7">
                  <c:v>0.1</c:v>
                </c:pt>
                <c:pt idx="8">
                  <c:v>0</c:v>
                </c:pt>
                <c:pt idx="9">
                  <c:v>1.2</c:v>
                </c:pt>
                <c:pt idx="10">
                  <c:v>-0.3</c:v>
                </c:pt>
                <c:pt idx="11">
                  <c:v>0.7</c:v>
                </c:pt>
                <c:pt idx="12">
                  <c:v>0</c:v>
                </c:pt>
                <c:pt idx="13">
                  <c:v>-0.3</c:v>
                </c:pt>
                <c:pt idx="14">
                  <c:v>0.3</c:v>
                </c:pt>
                <c:pt idx="15">
                  <c:v>-0.4</c:v>
                </c:pt>
                <c:pt idx="16">
                  <c:v>0</c:v>
                </c:pt>
                <c:pt idx="17">
                  <c:v>0.7</c:v>
                </c:pt>
                <c:pt idx="18">
                  <c:v>-0.2</c:v>
                </c:pt>
                <c:pt idx="19">
                  <c:v>0.6</c:v>
                </c:pt>
                <c:pt idx="20">
                  <c:v>-0.7</c:v>
                </c:pt>
                <c:pt idx="21">
                  <c:v>-0.5</c:v>
                </c:pt>
                <c:pt idx="22">
                  <c:v>-0.2</c:v>
                </c:pt>
                <c:pt idx="23">
                  <c:v>0.6</c:v>
                </c:pt>
                <c:pt idx="24">
                  <c:v>-0.2</c:v>
                </c:pt>
                <c:pt idx="25">
                  <c:v>0.9</c:v>
                </c:pt>
                <c:pt idx="26">
                  <c:v>-0.1</c:v>
                </c:pt>
                <c:pt idx="27">
                  <c:v>0.1</c:v>
                </c:pt>
                <c:pt idx="28">
                  <c:v>0.3</c:v>
                </c:pt>
                <c:pt idx="29">
                  <c:v>-0.5</c:v>
                </c:pt>
                <c:pt idx="30">
                  <c:v>0.6</c:v>
                </c:pt>
                <c:pt idx="31">
                  <c:v>0.1</c:v>
                </c:pt>
                <c:pt idx="32">
                  <c:v>0.9</c:v>
                </c:pt>
                <c:pt idx="33">
                  <c:v>0.4</c:v>
                </c:pt>
                <c:pt idx="34">
                  <c:v>0.8</c:v>
                </c:pt>
                <c:pt idx="35">
                  <c:v>0.4</c:v>
                </c:pt>
                <c:pt idx="36">
                  <c:v>0.1</c:v>
                </c:pt>
                <c:pt idx="37">
                  <c:v>0</c:v>
                </c:pt>
                <c:pt idx="38">
                  <c:v>1.1000000000000001</c:v>
                </c:pt>
                <c:pt idx="39">
                  <c:v>0.6</c:v>
                </c:pt>
                <c:pt idx="40">
                  <c:v>0.6</c:v>
                </c:pt>
                <c:pt idx="41">
                  <c:v>1</c:v>
                </c:pt>
                <c:pt idx="42">
                  <c:v>0.7</c:v>
                </c:pt>
                <c:pt idx="43">
                  <c:v>0.3</c:v>
                </c:pt>
                <c:pt idx="44">
                  <c:v>0.3</c:v>
                </c:pt>
                <c:pt idx="45">
                  <c:v>0.8</c:v>
                </c:pt>
                <c:pt idx="46">
                  <c:v>0.2</c:v>
                </c:pt>
                <c:pt idx="47">
                  <c:v>1.1000000000000001</c:v>
                </c:pt>
                <c:pt idx="48">
                  <c:v>0.6</c:v>
                </c:pt>
                <c:pt idx="49">
                  <c:v>-1.3</c:v>
                </c:pt>
                <c:pt idx="50">
                  <c:v>0.8</c:v>
                </c:pt>
                <c:pt idx="51">
                  <c:v>0.7</c:v>
                </c:pt>
                <c:pt idx="52">
                  <c:v>0.6</c:v>
                </c:pt>
                <c:pt idx="53">
                  <c:v>0.7</c:v>
                </c:pt>
                <c:pt idx="54">
                  <c:v>-0.4</c:v>
                </c:pt>
                <c:pt idx="55">
                  <c:v>0.4</c:v>
                </c:pt>
                <c:pt idx="56">
                  <c:v>0.7</c:v>
                </c:pt>
                <c:pt idx="57">
                  <c:v>-0.3</c:v>
                </c:pt>
                <c:pt idx="58">
                  <c:v>1.4</c:v>
                </c:pt>
                <c:pt idx="59">
                  <c:v>0.2</c:v>
                </c:pt>
                <c:pt idx="60">
                  <c:v>0.9</c:v>
                </c:pt>
                <c:pt idx="61">
                  <c:v>0.4</c:v>
                </c:pt>
                <c:pt idx="62">
                  <c:v>-0.1</c:v>
                </c:pt>
                <c:pt idx="63">
                  <c:v>0.3</c:v>
                </c:pt>
                <c:pt idx="64">
                  <c:v>1.2</c:v>
                </c:pt>
                <c:pt idx="65">
                  <c:v>-0.5</c:v>
                </c:pt>
                <c:pt idx="66">
                  <c:v>0.7</c:v>
                </c:pt>
                <c:pt idx="67">
                  <c:v>1</c:v>
                </c:pt>
                <c:pt idx="68">
                  <c:v>1.4</c:v>
                </c:pt>
                <c:pt idx="69">
                  <c:v>-1.6</c:v>
                </c:pt>
                <c:pt idx="70">
                  <c:v>0.3</c:v>
                </c:pt>
                <c:pt idx="71">
                  <c:v>1.1000000000000001</c:v>
                </c:pt>
                <c:pt idx="72">
                  <c:v>0.1</c:v>
                </c:pt>
                <c:pt idx="73">
                  <c:v>-0.2</c:v>
                </c:pt>
                <c:pt idx="74">
                  <c:v>0.3</c:v>
                </c:pt>
                <c:pt idx="75">
                  <c:v>0.6</c:v>
                </c:pt>
                <c:pt idx="76">
                  <c:v>0.6</c:v>
                </c:pt>
                <c:pt idx="77">
                  <c:v>-0.2</c:v>
                </c:pt>
                <c:pt idx="78">
                  <c:v>0.7</c:v>
                </c:pt>
                <c:pt idx="79">
                  <c:v>0.5</c:v>
                </c:pt>
                <c:pt idx="80">
                  <c:v>2.2000000000000002</c:v>
                </c:pt>
                <c:pt idx="81">
                  <c:v>-1.5</c:v>
                </c:pt>
                <c:pt idx="82">
                  <c:v>-0.3</c:v>
                </c:pt>
                <c:pt idx="83">
                  <c:v>2.2000000000000002</c:v>
                </c:pt>
                <c:pt idx="84">
                  <c:v>-2.5</c:v>
                </c:pt>
                <c:pt idx="85">
                  <c:v>1.9</c:v>
                </c:pt>
                <c:pt idx="86">
                  <c:v>0.1</c:v>
                </c:pt>
                <c:pt idx="87">
                  <c:v>0.5</c:v>
                </c:pt>
                <c:pt idx="88">
                  <c:v>0.1</c:v>
                </c:pt>
                <c:pt idx="89">
                  <c:v>0.4</c:v>
                </c:pt>
                <c:pt idx="90">
                  <c:v>0.5</c:v>
                </c:pt>
                <c:pt idx="91">
                  <c:v>0.8</c:v>
                </c:pt>
                <c:pt idx="92">
                  <c:v>-0.5</c:v>
                </c:pt>
                <c:pt idx="93">
                  <c:v>-0.1</c:v>
                </c:pt>
                <c:pt idx="94">
                  <c:v>0.1</c:v>
                </c:pt>
                <c:pt idx="95">
                  <c:v>0.8</c:v>
                </c:pt>
                <c:pt idx="96">
                  <c:v>0.9</c:v>
                </c:pt>
                <c:pt idx="97">
                  <c:v>0.1</c:v>
                </c:pt>
                <c:pt idx="98">
                  <c:v>0.9</c:v>
                </c:pt>
                <c:pt idx="99">
                  <c:v>-0.4</c:v>
                </c:pt>
                <c:pt idx="100">
                  <c:v>0.6</c:v>
                </c:pt>
                <c:pt idx="101">
                  <c:v>0.3</c:v>
                </c:pt>
                <c:pt idx="102">
                  <c:v>0.2</c:v>
                </c:pt>
                <c:pt idx="103">
                  <c:v>0.5</c:v>
                </c:pt>
                <c:pt idx="104">
                  <c:v>-0.3</c:v>
                </c:pt>
                <c:pt idx="105">
                  <c:v>0.8</c:v>
                </c:pt>
                <c:pt idx="106">
                  <c:v>0.3</c:v>
                </c:pt>
                <c:pt idx="107">
                  <c:v>0.5</c:v>
                </c:pt>
                <c:pt idx="108">
                  <c:v>0.2</c:v>
                </c:pt>
                <c:pt idx="109">
                  <c:v>-0.2</c:v>
                </c:pt>
                <c:pt idx="110">
                  <c:v>-0.1</c:v>
                </c:pt>
                <c:pt idx="111">
                  <c:v>0.6</c:v>
                </c:pt>
                <c:pt idx="112">
                  <c:v>-0.1</c:v>
                </c:pt>
                <c:pt idx="113">
                  <c:v>0.2</c:v>
                </c:pt>
                <c:pt idx="114">
                  <c:v>0.3</c:v>
                </c:pt>
                <c:pt idx="115">
                  <c:v>1</c:v>
                </c:pt>
                <c:pt idx="116">
                  <c:v>-0.2</c:v>
                </c:pt>
                <c:pt idx="117">
                  <c:v>-0.1</c:v>
                </c:pt>
                <c:pt idx="118">
                  <c:v>0</c:v>
                </c:pt>
                <c:pt idx="119">
                  <c:v>0.8</c:v>
                </c:pt>
                <c:pt idx="120">
                  <c:v>0.5</c:v>
                </c:pt>
                <c:pt idx="121">
                  <c:v>-0.5</c:v>
                </c:pt>
                <c:pt idx="122">
                  <c:v>0.3</c:v>
                </c:pt>
                <c:pt idx="123">
                  <c:v>0.2</c:v>
                </c:pt>
                <c:pt idx="124">
                  <c:v>-0.1</c:v>
                </c:pt>
                <c:pt idx="125">
                  <c:v>0.3</c:v>
                </c:pt>
                <c:pt idx="126">
                  <c:v>0.2</c:v>
                </c:pt>
                <c:pt idx="127">
                  <c:v>0</c:v>
                </c:pt>
                <c:pt idx="128">
                  <c:v>0</c:v>
                </c:pt>
                <c:pt idx="129">
                  <c:v>-0.6</c:v>
                </c:pt>
                <c:pt idx="130">
                  <c:v>-0.1</c:v>
                </c:pt>
                <c:pt idx="131">
                  <c:v>-0.4</c:v>
                </c:pt>
                <c:pt idx="132">
                  <c:v>-0.9</c:v>
                </c:pt>
                <c:pt idx="133">
                  <c:v>0.6</c:v>
                </c:pt>
                <c:pt idx="134">
                  <c:v>1.2</c:v>
                </c:pt>
                <c:pt idx="135">
                  <c:v>-0.3</c:v>
                </c:pt>
                <c:pt idx="136">
                  <c:v>0.3</c:v>
                </c:pt>
                <c:pt idx="137">
                  <c:v>0</c:v>
                </c:pt>
                <c:pt idx="138">
                  <c:v>0.5</c:v>
                </c:pt>
                <c:pt idx="139">
                  <c:v>-0.2</c:v>
                </c:pt>
                <c:pt idx="140">
                  <c:v>0</c:v>
                </c:pt>
                <c:pt idx="141">
                  <c:v>-0.4</c:v>
                </c:pt>
                <c:pt idx="142">
                  <c:v>0.5</c:v>
                </c:pt>
                <c:pt idx="143">
                  <c:v>0.2</c:v>
                </c:pt>
                <c:pt idx="144">
                  <c:v>1.5</c:v>
                </c:pt>
                <c:pt idx="145">
                  <c:v>0.1</c:v>
                </c:pt>
                <c:pt idx="146">
                  <c:v>0.2</c:v>
                </c:pt>
                <c:pt idx="147">
                  <c:v>0.1</c:v>
                </c:pt>
                <c:pt idx="148">
                  <c:v>0.5</c:v>
                </c:pt>
                <c:pt idx="149">
                  <c:v>0.3</c:v>
                </c:pt>
                <c:pt idx="150">
                  <c:v>0.3</c:v>
                </c:pt>
                <c:pt idx="151">
                  <c:v>0.2</c:v>
                </c:pt>
                <c:pt idx="152">
                  <c:v>0.7</c:v>
                </c:pt>
                <c:pt idx="153">
                  <c:v>0.3</c:v>
                </c:pt>
                <c:pt idx="154">
                  <c:v>0.2</c:v>
                </c:pt>
                <c:pt idx="155">
                  <c:v>0.7</c:v>
                </c:pt>
                <c:pt idx="156">
                  <c:v>-0.1</c:v>
                </c:pt>
                <c:pt idx="157">
                  <c:v>0.2</c:v>
                </c:pt>
                <c:pt idx="158">
                  <c:v>-0.3</c:v>
                </c:pt>
                <c:pt idx="159">
                  <c:v>0.7</c:v>
                </c:pt>
                <c:pt idx="160">
                  <c:v>0.3</c:v>
                </c:pt>
                <c:pt idx="161">
                  <c:v>0.4</c:v>
                </c:pt>
                <c:pt idx="162">
                  <c:v>0.5</c:v>
                </c:pt>
                <c:pt idx="163">
                  <c:v>0.1</c:v>
                </c:pt>
                <c:pt idx="164">
                  <c:v>0.6</c:v>
                </c:pt>
                <c:pt idx="165">
                  <c:v>0.2</c:v>
                </c:pt>
                <c:pt idx="166">
                  <c:v>0.3</c:v>
                </c:pt>
                <c:pt idx="167">
                  <c:v>0.4</c:v>
                </c:pt>
                <c:pt idx="168">
                  <c:v>0.3</c:v>
                </c:pt>
                <c:pt idx="169">
                  <c:v>0.8</c:v>
                </c:pt>
                <c:pt idx="170">
                  <c:v>0</c:v>
                </c:pt>
                <c:pt idx="171">
                  <c:v>0.4</c:v>
                </c:pt>
                <c:pt idx="172">
                  <c:v>-0.2</c:v>
                </c:pt>
                <c:pt idx="173">
                  <c:v>0.6</c:v>
                </c:pt>
                <c:pt idx="174">
                  <c:v>-0.1</c:v>
                </c:pt>
                <c:pt idx="175">
                  <c:v>0.7</c:v>
                </c:pt>
                <c:pt idx="176">
                  <c:v>0.2</c:v>
                </c:pt>
                <c:pt idx="177">
                  <c:v>0.6</c:v>
                </c:pt>
                <c:pt idx="178">
                  <c:v>0.1</c:v>
                </c:pt>
                <c:pt idx="179">
                  <c:v>0.3</c:v>
                </c:pt>
                <c:pt idx="180">
                  <c:v>0</c:v>
                </c:pt>
                <c:pt idx="181">
                  <c:v>-0.2</c:v>
                </c:pt>
                <c:pt idx="182">
                  <c:v>0.5</c:v>
                </c:pt>
                <c:pt idx="183">
                  <c:v>-0.2</c:v>
                </c:pt>
                <c:pt idx="184">
                  <c:v>0.7</c:v>
                </c:pt>
                <c:pt idx="185">
                  <c:v>0.8</c:v>
                </c:pt>
                <c:pt idx="186">
                  <c:v>-0.3</c:v>
                </c:pt>
                <c:pt idx="187">
                  <c:v>0.5</c:v>
                </c:pt>
                <c:pt idx="188">
                  <c:v>0.2</c:v>
                </c:pt>
                <c:pt idx="189">
                  <c:v>-0.4</c:v>
                </c:pt>
                <c:pt idx="190">
                  <c:v>0.8</c:v>
                </c:pt>
                <c:pt idx="191">
                  <c:v>0.6</c:v>
                </c:pt>
                <c:pt idx="192">
                  <c:v>-0.5</c:v>
                </c:pt>
                <c:pt idx="193">
                  <c:v>0.8</c:v>
                </c:pt>
                <c:pt idx="194">
                  <c:v>0.5</c:v>
                </c:pt>
                <c:pt idx="195">
                  <c:v>0.4</c:v>
                </c:pt>
                <c:pt idx="196">
                  <c:v>0.1</c:v>
                </c:pt>
                <c:pt idx="197">
                  <c:v>0.1</c:v>
                </c:pt>
                <c:pt idx="198">
                  <c:v>0.2</c:v>
                </c:pt>
                <c:pt idx="199">
                  <c:v>0.3</c:v>
                </c:pt>
                <c:pt idx="200">
                  <c:v>0.1</c:v>
                </c:pt>
                <c:pt idx="201">
                  <c:v>0.3</c:v>
                </c:pt>
                <c:pt idx="202">
                  <c:v>0.2</c:v>
                </c:pt>
                <c:pt idx="203">
                  <c:v>0.4</c:v>
                </c:pt>
                <c:pt idx="204">
                  <c:v>0.5</c:v>
                </c:pt>
                <c:pt idx="205">
                  <c:v>0.2</c:v>
                </c:pt>
                <c:pt idx="206">
                  <c:v>0.3</c:v>
                </c:pt>
                <c:pt idx="207">
                  <c:v>0</c:v>
                </c:pt>
                <c:pt idx="208">
                  <c:v>0.1</c:v>
                </c:pt>
                <c:pt idx="209">
                  <c:v>0.5</c:v>
                </c:pt>
                <c:pt idx="210">
                  <c:v>0.9</c:v>
                </c:pt>
                <c:pt idx="211">
                  <c:v>0.6</c:v>
                </c:pt>
                <c:pt idx="212">
                  <c:v>0</c:v>
                </c:pt>
                <c:pt idx="213">
                  <c:v>0.5</c:v>
                </c:pt>
                <c:pt idx="214">
                  <c:v>0.4</c:v>
                </c:pt>
                <c:pt idx="215">
                  <c:v>0.6</c:v>
                </c:pt>
                <c:pt idx="216">
                  <c:v>-0.1</c:v>
                </c:pt>
                <c:pt idx="217">
                  <c:v>0.6</c:v>
                </c:pt>
                <c:pt idx="218">
                  <c:v>0.4</c:v>
                </c:pt>
                <c:pt idx="219">
                  <c:v>0.5</c:v>
                </c:pt>
                <c:pt idx="220">
                  <c:v>0.7</c:v>
                </c:pt>
                <c:pt idx="221">
                  <c:v>0.7</c:v>
                </c:pt>
                <c:pt idx="222">
                  <c:v>0.1</c:v>
                </c:pt>
                <c:pt idx="223">
                  <c:v>0.5</c:v>
                </c:pt>
                <c:pt idx="224">
                  <c:v>0.7</c:v>
                </c:pt>
                <c:pt idx="225">
                  <c:v>0.3</c:v>
                </c:pt>
                <c:pt idx="226">
                  <c:v>0.3</c:v>
                </c:pt>
                <c:pt idx="227">
                  <c:v>0.8</c:v>
                </c:pt>
                <c:pt idx="228">
                  <c:v>-0.1</c:v>
                </c:pt>
                <c:pt idx="229">
                  <c:v>0.5</c:v>
                </c:pt>
                <c:pt idx="230">
                  <c:v>0.4</c:v>
                </c:pt>
                <c:pt idx="231">
                  <c:v>0.6</c:v>
                </c:pt>
                <c:pt idx="232">
                  <c:v>0.4</c:v>
                </c:pt>
                <c:pt idx="233">
                  <c:v>0.4</c:v>
                </c:pt>
                <c:pt idx="234">
                  <c:v>0.2</c:v>
                </c:pt>
                <c:pt idx="235">
                  <c:v>0.5</c:v>
                </c:pt>
                <c:pt idx="236">
                  <c:v>0.5</c:v>
                </c:pt>
                <c:pt idx="237">
                  <c:v>0.2</c:v>
                </c:pt>
                <c:pt idx="238">
                  <c:v>0.5</c:v>
                </c:pt>
                <c:pt idx="239">
                  <c:v>1.3</c:v>
                </c:pt>
                <c:pt idx="240">
                  <c:v>-0.3</c:v>
                </c:pt>
                <c:pt idx="241">
                  <c:v>1</c:v>
                </c:pt>
                <c:pt idx="242">
                  <c:v>0.6</c:v>
                </c:pt>
                <c:pt idx="243">
                  <c:v>-0.1</c:v>
                </c:pt>
                <c:pt idx="244">
                  <c:v>0.5</c:v>
                </c:pt>
                <c:pt idx="245">
                  <c:v>0.2</c:v>
                </c:pt>
                <c:pt idx="246">
                  <c:v>0.1</c:v>
                </c:pt>
                <c:pt idx="247">
                  <c:v>0.5</c:v>
                </c:pt>
                <c:pt idx="248">
                  <c:v>0.8</c:v>
                </c:pt>
                <c:pt idx="249">
                  <c:v>-0.1</c:v>
                </c:pt>
                <c:pt idx="250">
                  <c:v>0.1</c:v>
                </c:pt>
                <c:pt idx="251">
                  <c:v>0.5</c:v>
                </c:pt>
                <c:pt idx="252">
                  <c:v>0</c:v>
                </c:pt>
                <c:pt idx="253">
                  <c:v>0.1</c:v>
                </c:pt>
                <c:pt idx="254">
                  <c:v>-0.1</c:v>
                </c:pt>
                <c:pt idx="255">
                  <c:v>0</c:v>
                </c:pt>
                <c:pt idx="256">
                  <c:v>0.4</c:v>
                </c:pt>
                <c:pt idx="257">
                  <c:v>0</c:v>
                </c:pt>
                <c:pt idx="258">
                  <c:v>0.2</c:v>
                </c:pt>
                <c:pt idx="259">
                  <c:v>0.5</c:v>
                </c:pt>
                <c:pt idx="260">
                  <c:v>-1</c:v>
                </c:pt>
                <c:pt idx="261">
                  <c:v>2.4</c:v>
                </c:pt>
                <c:pt idx="262">
                  <c:v>-0.5</c:v>
                </c:pt>
                <c:pt idx="263">
                  <c:v>-0.2</c:v>
                </c:pt>
                <c:pt idx="264">
                  <c:v>0.3</c:v>
                </c:pt>
                <c:pt idx="265">
                  <c:v>0.4</c:v>
                </c:pt>
                <c:pt idx="266">
                  <c:v>0</c:v>
                </c:pt>
                <c:pt idx="267">
                  <c:v>0.5</c:v>
                </c:pt>
                <c:pt idx="268">
                  <c:v>-0.4</c:v>
                </c:pt>
                <c:pt idx="269">
                  <c:v>0.4</c:v>
                </c:pt>
                <c:pt idx="270">
                  <c:v>0.6</c:v>
                </c:pt>
                <c:pt idx="271">
                  <c:v>0.1</c:v>
                </c:pt>
                <c:pt idx="272">
                  <c:v>-0.3</c:v>
                </c:pt>
                <c:pt idx="273">
                  <c:v>0.4</c:v>
                </c:pt>
                <c:pt idx="274">
                  <c:v>0.3</c:v>
                </c:pt>
                <c:pt idx="275">
                  <c:v>0.6</c:v>
                </c:pt>
                <c:pt idx="276">
                  <c:v>0</c:v>
                </c:pt>
                <c:pt idx="277">
                  <c:v>-0.4</c:v>
                </c:pt>
                <c:pt idx="278">
                  <c:v>0.6</c:v>
                </c:pt>
                <c:pt idx="279">
                  <c:v>0.5</c:v>
                </c:pt>
                <c:pt idx="280">
                  <c:v>0.2</c:v>
                </c:pt>
                <c:pt idx="281">
                  <c:v>0.6</c:v>
                </c:pt>
                <c:pt idx="282">
                  <c:v>0.5</c:v>
                </c:pt>
                <c:pt idx="283">
                  <c:v>0.9</c:v>
                </c:pt>
                <c:pt idx="284">
                  <c:v>-0.3</c:v>
                </c:pt>
                <c:pt idx="285">
                  <c:v>0.1</c:v>
                </c:pt>
                <c:pt idx="286">
                  <c:v>0.6</c:v>
                </c:pt>
                <c:pt idx="287">
                  <c:v>0.1</c:v>
                </c:pt>
                <c:pt idx="288">
                  <c:v>0.3</c:v>
                </c:pt>
                <c:pt idx="289">
                  <c:v>0.2</c:v>
                </c:pt>
                <c:pt idx="290">
                  <c:v>0.5</c:v>
                </c:pt>
                <c:pt idx="291">
                  <c:v>0</c:v>
                </c:pt>
                <c:pt idx="292">
                  <c:v>0.6</c:v>
                </c:pt>
                <c:pt idx="293">
                  <c:v>-0.5</c:v>
                </c:pt>
                <c:pt idx="294">
                  <c:v>0.8</c:v>
                </c:pt>
                <c:pt idx="295">
                  <c:v>0.4</c:v>
                </c:pt>
                <c:pt idx="296">
                  <c:v>0.6</c:v>
                </c:pt>
                <c:pt idx="297">
                  <c:v>0.2</c:v>
                </c:pt>
                <c:pt idx="298">
                  <c:v>0.2</c:v>
                </c:pt>
                <c:pt idx="299">
                  <c:v>0.7</c:v>
                </c:pt>
                <c:pt idx="300">
                  <c:v>-0.3</c:v>
                </c:pt>
                <c:pt idx="301">
                  <c:v>0.4</c:v>
                </c:pt>
                <c:pt idx="302">
                  <c:v>0.2</c:v>
                </c:pt>
                <c:pt idx="303">
                  <c:v>0.6</c:v>
                </c:pt>
                <c:pt idx="304">
                  <c:v>-0.1</c:v>
                </c:pt>
                <c:pt idx="305">
                  <c:v>0.9</c:v>
                </c:pt>
                <c:pt idx="306">
                  <c:v>0.8</c:v>
                </c:pt>
                <c:pt idx="307">
                  <c:v>-0.4</c:v>
                </c:pt>
                <c:pt idx="308">
                  <c:v>-0.4</c:v>
                </c:pt>
                <c:pt idx="309">
                  <c:v>0.3</c:v>
                </c:pt>
                <c:pt idx="310">
                  <c:v>0.3</c:v>
                </c:pt>
                <c:pt idx="311">
                  <c:v>0.3</c:v>
                </c:pt>
                <c:pt idx="312">
                  <c:v>0.5</c:v>
                </c:pt>
                <c:pt idx="313">
                  <c:v>0.3</c:v>
                </c:pt>
                <c:pt idx="314">
                  <c:v>0.2</c:v>
                </c:pt>
                <c:pt idx="315">
                  <c:v>0.2</c:v>
                </c:pt>
                <c:pt idx="316">
                  <c:v>0.2</c:v>
                </c:pt>
                <c:pt idx="317">
                  <c:v>0</c:v>
                </c:pt>
                <c:pt idx="318">
                  <c:v>0.5</c:v>
                </c:pt>
                <c:pt idx="319">
                  <c:v>-0.3</c:v>
                </c:pt>
                <c:pt idx="320">
                  <c:v>0.6</c:v>
                </c:pt>
                <c:pt idx="321">
                  <c:v>0.4</c:v>
                </c:pt>
                <c:pt idx="322">
                  <c:v>0</c:v>
                </c:pt>
                <c:pt idx="323">
                  <c:v>0.6</c:v>
                </c:pt>
                <c:pt idx="324">
                  <c:v>0.1</c:v>
                </c:pt>
                <c:pt idx="325">
                  <c:v>0</c:v>
                </c:pt>
                <c:pt idx="326">
                  <c:v>0</c:v>
                </c:pt>
                <c:pt idx="327">
                  <c:v>0.1</c:v>
                </c:pt>
                <c:pt idx="328">
                  <c:v>0.1</c:v>
                </c:pt>
                <c:pt idx="329">
                  <c:v>0</c:v>
                </c:pt>
                <c:pt idx="330">
                  <c:v>0.3</c:v>
                </c:pt>
                <c:pt idx="331">
                  <c:v>0.4</c:v>
                </c:pt>
                <c:pt idx="332">
                  <c:v>0.1</c:v>
                </c:pt>
                <c:pt idx="333">
                  <c:v>0</c:v>
                </c:pt>
                <c:pt idx="334">
                  <c:v>0.2</c:v>
                </c:pt>
                <c:pt idx="335">
                  <c:v>-0.1</c:v>
                </c:pt>
                <c:pt idx="336">
                  <c:v>0</c:v>
                </c:pt>
                <c:pt idx="337">
                  <c:v>-0.4</c:v>
                </c:pt>
                <c:pt idx="338">
                  <c:v>0.2</c:v>
                </c:pt>
                <c:pt idx="339">
                  <c:v>0.2</c:v>
                </c:pt>
                <c:pt idx="340">
                  <c:v>0.1</c:v>
                </c:pt>
                <c:pt idx="341">
                  <c:v>-0.2</c:v>
                </c:pt>
                <c:pt idx="342">
                  <c:v>-0.5</c:v>
                </c:pt>
                <c:pt idx="343">
                  <c:v>0</c:v>
                </c:pt>
                <c:pt idx="344">
                  <c:v>-0.6</c:v>
                </c:pt>
                <c:pt idx="345">
                  <c:v>-0.2</c:v>
                </c:pt>
                <c:pt idx="346">
                  <c:v>-0.3</c:v>
                </c:pt>
                <c:pt idx="347">
                  <c:v>-0.4</c:v>
                </c:pt>
                <c:pt idx="348">
                  <c:v>0.5</c:v>
                </c:pt>
                <c:pt idx="349">
                  <c:v>-0.4</c:v>
                </c:pt>
                <c:pt idx="350">
                  <c:v>-0.4</c:v>
                </c:pt>
                <c:pt idx="351">
                  <c:v>-0.1</c:v>
                </c:pt>
                <c:pt idx="352">
                  <c:v>0.1</c:v>
                </c:pt>
                <c:pt idx="353">
                  <c:v>0</c:v>
                </c:pt>
                <c:pt idx="354">
                  <c:v>0.3</c:v>
                </c:pt>
                <c:pt idx="355">
                  <c:v>0.9</c:v>
                </c:pt>
                <c:pt idx="356">
                  <c:v>-0.9</c:v>
                </c:pt>
                <c:pt idx="357">
                  <c:v>0.1</c:v>
                </c:pt>
                <c:pt idx="358">
                  <c:v>-0.2</c:v>
                </c:pt>
                <c:pt idx="359">
                  <c:v>0.5</c:v>
                </c:pt>
                <c:pt idx="360">
                  <c:v>-0.2</c:v>
                </c:pt>
                <c:pt idx="361">
                  <c:v>0.3</c:v>
                </c:pt>
                <c:pt idx="362">
                  <c:v>0.5</c:v>
                </c:pt>
                <c:pt idx="363">
                  <c:v>0.2</c:v>
                </c:pt>
                <c:pt idx="364">
                  <c:v>0.2</c:v>
                </c:pt>
                <c:pt idx="365">
                  <c:v>0.3</c:v>
                </c:pt>
                <c:pt idx="366">
                  <c:v>0.2</c:v>
                </c:pt>
                <c:pt idx="367">
                  <c:v>0.3</c:v>
                </c:pt>
                <c:pt idx="368">
                  <c:v>0.1</c:v>
                </c:pt>
                <c:pt idx="369">
                  <c:v>0.2</c:v>
                </c:pt>
                <c:pt idx="370">
                  <c:v>0.3</c:v>
                </c:pt>
                <c:pt idx="371">
                  <c:v>0.1</c:v>
                </c:pt>
                <c:pt idx="372">
                  <c:v>0.1</c:v>
                </c:pt>
                <c:pt idx="373">
                  <c:v>0</c:v>
                </c:pt>
                <c:pt idx="374">
                  <c:v>0.4</c:v>
                </c:pt>
                <c:pt idx="375">
                  <c:v>-0.1</c:v>
                </c:pt>
                <c:pt idx="376">
                  <c:v>-0.1</c:v>
                </c:pt>
                <c:pt idx="377">
                  <c:v>0.3</c:v>
                </c:pt>
                <c:pt idx="378">
                  <c:v>0.2</c:v>
                </c:pt>
                <c:pt idx="379">
                  <c:v>0</c:v>
                </c:pt>
                <c:pt idx="380">
                  <c:v>0.2</c:v>
                </c:pt>
                <c:pt idx="381">
                  <c:v>0.1</c:v>
                </c:pt>
                <c:pt idx="382">
                  <c:v>-0.1</c:v>
                </c:pt>
                <c:pt idx="383">
                  <c:v>0.1</c:v>
                </c:pt>
                <c:pt idx="384">
                  <c:v>0.5</c:v>
                </c:pt>
                <c:pt idx="385">
                  <c:v>0.6</c:v>
                </c:pt>
                <c:pt idx="386">
                  <c:v>-0.2</c:v>
                </c:pt>
                <c:pt idx="387">
                  <c:v>0.1</c:v>
                </c:pt>
                <c:pt idx="388">
                  <c:v>0</c:v>
                </c:pt>
                <c:pt idx="389">
                  <c:v>-0.2</c:v>
                </c:pt>
                <c:pt idx="390">
                  <c:v>0.2</c:v>
                </c:pt>
                <c:pt idx="391">
                  <c:v>-0.1</c:v>
                </c:pt>
                <c:pt idx="392">
                  <c:v>0.2</c:v>
                </c:pt>
                <c:pt idx="393">
                  <c:v>0.1</c:v>
                </c:pt>
                <c:pt idx="394">
                  <c:v>0.4</c:v>
                </c:pt>
                <c:pt idx="395">
                  <c:v>0</c:v>
                </c:pt>
                <c:pt idx="396">
                  <c:v>0.4</c:v>
                </c:pt>
                <c:pt idx="397">
                  <c:v>0</c:v>
                </c:pt>
                <c:pt idx="398">
                  <c:v>0</c:v>
                </c:pt>
                <c:pt idx="399">
                  <c:v>-0.1</c:v>
                </c:pt>
                <c:pt idx="400">
                  <c:v>0.3</c:v>
                </c:pt>
                <c:pt idx="401">
                  <c:v>0</c:v>
                </c:pt>
                <c:pt idx="402">
                  <c:v>0.1</c:v>
                </c:pt>
                <c:pt idx="403">
                  <c:v>0.1</c:v>
                </c:pt>
                <c:pt idx="404">
                  <c:v>0.3</c:v>
                </c:pt>
                <c:pt idx="405">
                  <c:v>0.3</c:v>
                </c:pt>
                <c:pt idx="406">
                  <c:v>0.4</c:v>
                </c:pt>
                <c:pt idx="407">
                  <c:v>0.1</c:v>
                </c:pt>
                <c:pt idx="408">
                  <c:v>-0.3</c:v>
                </c:pt>
                <c:pt idx="409">
                  <c:v>0.6</c:v>
                </c:pt>
                <c:pt idx="410">
                  <c:v>0.4</c:v>
                </c:pt>
                <c:pt idx="411">
                  <c:v>0.4</c:v>
                </c:pt>
                <c:pt idx="412">
                  <c:v>0.2</c:v>
                </c:pt>
                <c:pt idx="413">
                  <c:v>0.4</c:v>
                </c:pt>
                <c:pt idx="414">
                  <c:v>0.2</c:v>
                </c:pt>
                <c:pt idx="415">
                  <c:v>0.7</c:v>
                </c:pt>
                <c:pt idx="416">
                  <c:v>0.1</c:v>
                </c:pt>
                <c:pt idx="417">
                  <c:v>0.6</c:v>
                </c:pt>
                <c:pt idx="418">
                  <c:v>0.3</c:v>
                </c:pt>
                <c:pt idx="419">
                  <c:v>0.3</c:v>
                </c:pt>
                <c:pt idx="420">
                  <c:v>0.3</c:v>
                </c:pt>
                <c:pt idx="421">
                  <c:v>0.2</c:v>
                </c:pt>
                <c:pt idx="422">
                  <c:v>0.2</c:v>
                </c:pt>
                <c:pt idx="423">
                  <c:v>0.3</c:v>
                </c:pt>
                <c:pt idx="424">
                  <c:v>0.4</c:v>
                </c:pt>
                <c:pt idx="425">
                  <c:v>0.1</c:v>
                </c:pt>
                <c:pt idx="426">
                  <c:v>0.4</c:v>
                </c:pt>
                <c:pt idx="427">
                  <c:v>0.2</c:v>
                </c:pt>
                <c:pt idx="428">
                  <c:v>0.1</c:v>
                </c:pt>
                <c:pt idx="429">
                  <c:v>0</c:v>
                </c:pt>
                <c:pt idx="430">
                  <c:v>0.2</c:v>
                </c:pt>
                <c:pt idx="431">
                  <c:v>0.3</c:v>
                </c:pt>
                <c:pt idx="432">
                  <c:v>0.2</c:v>
                </c:pt>
                <c:pt idx="433">
                  <c:v>0.6</c:v>
                </c:pt>
                <c:pt idx="434">
                  <c:v>-0.2</c:v>
                </c:pt>
                <c:pt idx="435">
                  <c:v>0.4</c:v>
                </c:pt>
                <c:pt idx="436">
                  <c:v>0.2</c:v>
                </c:pt>
                <c:pt idx="437">
                  <c:v>0.5</c:v>
                </c:pt>
                <c:pt idx="438">
                  <c:v>0</c:v>
                </c:pt>
                <c:pt idx="439">
                  <c:v>0.1</c:v>
                </c:pt>
                <c:pt idx="440">
                  <c:v>0.4</c:v>
                </c:pt>
                <c:pt idx="441">
                  <c:v>0.1</c:v>
                </c:pt>
                <c:pt idx="442">
                  <c:v>0.2</c:v>
                </c:pt>
                <c:pt idx="443">
                  <c:v>0.4</c:v>
                </c:pt>
                <c:pt idx="444">
                  <c:v>0.1</c:v>
                </c:pt>
                <c:pt idx="445">
                  <c:v>0</c:v>
                </c:pt>
                <c:pt idx="446">
                  <c:v>0.5</c:v>
                </c:pt>
                <c:pt idx="447">
                  <c:v>0.1</c:v>
                </c:pt>
                <c:pt idx="448">
                  <c:v>0.1</c:v>
                </c:pt>
                <c:pt idx="449">
                  <c:v>0.3</c:v>
                </c:pt>
                <c:pt idx="450">
                  <c:v>0.1</c:v>
                </c:pt>
                <c:pt idx="451">
                  <c:v>0.1</c:v>
                </c:pt>
                <c:pt idx="452">
                  <c:v>0.6</c:v>
                </c:pt>
                <c:pt idx="453">
                  <c:v>0.2</c:v>
                </c:pt>
                <c:pt idx="454">
                  <c:v>0.4</c:v>
                </c:pt>
                <c:pt idx="455">
                  <c:v>0.4</c:v>
                </c:pt>
                <c:pt idx="456">
                  <c:v>-0.1</c:v>
                </c:pt>
                <c:pt idx="457">
                  <c:v>-0.1</c:v>
                </c:pt>
                <c:pt idx="458">
                  <c:v>0.3</c:v>
                </c:pt>
                <c:pt idx="459">
                  <c:v>0.4</c:v>
                </c:pt>
                <c:pt idx="460">
                  <c:v>0.4</c:v>
                </c:pt>
                <c:pt idx="461">
                  <c:v>0.2</c:v>
                </c:pt>
                <c:pt idx="462">
                  <c:v>0.4</c:v>
                </c:pt>
                <c:pt idx="463">
                  <c:v>0.3</c:v>
                </c:pt>
                <c:pt idx="464">
                  <c:v>0</c:v>
                </c:pt>
                <c:pt idx="465">
                  <c:v>0.4</c:v>
                </c:pt>
                <c:pt idx="466">
                  <c:v>0.3</c:v>
                </c:pt>
                <c:pt idx="467">
                  <c:v>-0.9</c:v>
                </c:pt>
                <c:pt idx="468">
                  <c:v>0.6</c:v>
                </c:pt>
                <c:pt idx="469">
                  <c:v>-0.2</c:v>
                </c:pt>
                <c:pt idx="470">
                  <c:v>0.8</c:v>
                </c:pt>
                <c:pt idx="471">
                  <c:v>0.4</c:v>
                </c:pt>
                <c:pt idx="472">
                  <c:v>0.3</c:v>
                </c:pt>
                <c:pt idx="473">
                  <c:v>0.2</c:v>
                </c:pt>
                <c:pt idx="474">
                  <c:v>0.3</c:v>
                </c:pt>
                <c:pt idx="475">
                  <c:v>0.2</c:v>
                </c:pt>
                <c:pt idx="476">
                  <c:v>0.2</c:v>
                </c:pt>
                <c:pt idx="477">
                  <c:v>0.1</c:v>
                </c:pt>
                <c:pt idx="478">
                  <c:v>0.2</c:v>
                </c:pt>
                <c:pt idx="479">
                  <c:v>0.1</c:v>
                </c:pt>
                <c:pt idx="480">
                  <c:v>0.3</c:v>
                </c:pt>
                <c:pt idx="481">
                  <c:v>0.1</c:v>
                </c:pt>
                <c:pt idx="482">
                  <c:v>-7.3</c:v>
                </c:pt>
              </c:numCache>
            </c:numRef>
          </c:val>
          <c:extLst>
            <c:ext xmlns:c16="http://schemas.microsoft.com/office/drawing/2014/chart" uri="{C3380CC4-5D6E-409C-BE32-E72D297353CC}">
              <c16:uniqueId val="{00000000-F346-4DB0-ABC0-424E877DB619}"/>
            </c:ext>
          </c:extLst>
        </c:ser>
        <c:dLbls>
          <c:showLegendKey val="0"/>
          <c:showVal val="0"/>
          <c:showCatName val="0"/>
          <c:showSerName val="0"/>
          <c:showPercent val="0"/>
          <c:showBubbleSize val="0"/>
        </c:dLbls>
        <c:gapWidth val="75"/>
        <c:overlap val="-27"/>
        <c:axId val="888562399"/>
        <c:axId val="873890239"/>
      </c:barChart>
      <c:catAx>
        <c:axId val="888562399"/>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3890239"/>
        <c:crosses val="autoZero"/>
        <c:auto val="1"/>
        <c:lblAlgn val="ctr"/>
        <c:lblOffset val="100"/>
        <c:tickLblSkip val="48"/>
        <c:noMultiLvlLbl val="0"/>
      </c:catAx>
      <c:valAx>
        <c:axId val="87389023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Change from Prior</a:t>
                </a:r>
                <a:r>
                  <a:rPr lang="en-US" baseline="0"/>
                  <a:t> Month</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856239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numRef>
              <c:f>Sheet3!$A$485:$A$739</c:f>
              <c:numCache>
                <c:formatCode>General</c:formatCode>
                <c:ptCount val="255"/>
                <c:pt idx="0">
                  <c:v>1999</c:v>
                </c:pt>
                <c:pt idx="12">
                  <c:v>2000</c:v>
                </c:pt>
                <c:pt idx="24">
                  <c:v>2001</c:v>
                </c:pt>
                <c:pt idx="36">
                  <c:v>2002</c:v>
                </c:pt>
                <c:pt idx="48">
                  <c:v>2003</c:v>
                </c:pt>
                <c:pt idx="60">
                  <c:v>2004</c:v>
                </c:pt>
                <c:pt idx="72">
                  <c:v>2005</c:v>
                </c:pt>
                <c:pt idx="84">
                  <c:v>2006</c:v>
                </c:pt>
                <c:pt idx="96">
                  <c:v>2007</c:v>
                </c:pt>
                <c:pt idx="108">
                  <c:v>2008</c:v>
                </c:pt>
                <c:pt idx="120">
                  <c:v>2009</c:v>
                </c:pt>
                <c:pt idx="132">
                  <c:v>2010</c:v>
                </c:pt>
                <c:pt idx="144">
                  <c:v>2011</c:v>
                </c:pt>
                <c:pt idx="156">
                  <c:v>2012</c:v>
                </c:pt>
                <c:pt idx="168">
                  <c:v>2013</c:v>
                </c:pt>
                <c:pt idx="180">
                  <c:v>2014</c:v>
                </c:pt>
                <c:pt idx="192">
                  <c:v>2015</c:v>
                </c:pt>
                <c:pt idx="204">
                  <c:v>2016</c:v>
                </c:pt>
                <c:pt idx="216">
                  <c:v>2017</c:v>
                </c:pt>
                <c:pt idx="228">
                  <c:v>2018</c:v>
                </c:pt>
                <c:pt idx="240">
                  <c:v>2019</c:v>
                </c:pt>
                <c:pt idx="252">
                  <c:v>2020</c:v>
                </c:pt>
              </c:numCache>
            </c:numRef>
          </c:cat>
          <c:val>
            <c:numRef>
              <c:f>Sheet3!$J$485:$J$739</c:f>
              <c:numCache>
                <c:formatCode>General</c:formatCode>
                <c:ptCount val="255"/>
                <c:pt idx="0">
                  <c:v>-0.1</c:v>
                </c:pt>
                <c:pt idx="1">
                  <c:v>0.5</c:v>
                </c:pt>
                <c:pt idx="2">
                  <c:v>0.3</c:v>
                </c:pt>
                <c:pt idx="3">
                  <c:v>0.6</c:v>
                </c:pt>
                <c:pt idx="4">
                  <c:v>0.3</c:v>
                </c:pt>
                <c:pt idx="5">
                  <c:v>-0.3</c:v>
                </c:pt>
                <c:pt idx="6">
                  <c:v>0.4</c:v>
                </c:pt>
                <c:pt idx="7">
                  <c:v>0.5</c:v>
                </c:pt>
                <c:pt idx="8">
                  <c:v>0.8</c:v>
                </c:pt>
                <c:pt idx="9">
                  <c:v>-0.7</c:v>
                </c:pt>
                <c:pt idx="10">
                  <c:v>0.5</c:v>
                </c:pt>
                <c:pt idx="11">
                  <c:v>3.8</c:v>
                </c:pt>
                <c:pt idx="12">
                  <c:v>-4.8</c:v>
                </c:pt>
                <c:pt idx="13">
                  <c:v>1.2</c:v>
                </c:pt>
                <c:pt idx="14">
                  <c:v>1.3</c:v>
                </c:pt>
                <c:pt idx="15">
                  <c:v>0.1</c:v>
                </c:pt>
                <c:pt idx="16">
                  <c:v>-0.4</c:v>
                </c:pt>
                <c:pt idx="17">
                  <c:v>1.1000000000000001</c:v>
                </c:pt>
                <c:pt idx="18">
                  <c:v>-0.5</c:v>
                </c:pt>
                <c:pt idx="19">
                  <c:v>-0.1</c:v>
                </c:pt>
                <c:pt idx="20">
                  <c:v>0.4</c:v>
                </c:pt>
                <c:pt idx="21">
                  <c:v>0.7</c:v>
                </c:pt>
                <c:pt idx="22">
                  <c:v>-0.1</c:v>
                </c:pt>
                <c:pt idx="23">
                  <c:v>0.4</c:v>
                </c:pt>
                <c:pt idx="24">
                  <c:v>0.1</c:v>
                </c:pt>
                <c:pt idx="25">
                  <c:v>-0.8</c:v>
                </c:pt>
                <c:pt idx="26">
                  <c:v>-0.4</c:v>
                </c:pt>
                <c:pt idx="27">
                  <c:v>1.2</c:v>
                </c:pt>
                <c:pt idx="28">
                  <c:v>0.3</c:v>
                </c:pt>
                <c:pt idx="29">
                  <c:v>-0.6</c:v>
                </c:pt>
                <c:pt idx="30">
                  <c:v>-0.2</c:v>
                </c:pt>
                <c:pt idx="31">
                  <c:v>0.1</c:v>
                </c:pt>
                <c:pt idx="32">
                  <c:v>0.5</c:v>
                </c:pt>
                <c:pt idx="33">
                  <c:v>-0.3</c:v>
                </c:pt>
                <c:pt idx="34">
                  <c:v>-0.1</c:v>
                </c:pt>
                <c:pt idx="35">
                  <c:v>0.9</c:v>
                </c:pt>
                <c:pt idx="36">
                  <c:v>-1</c:v>
                </c:pt>
                <c:pt idx="37">
                  <c:v>0.1</c:v>
                </c:pt>
                <c:pt idx="38">
                  <c:v>0.3</c:v>
                </c:pt>
                <c:pt idx="39">
                  <c:v>-0.7</c:v>
                </c:pt>
                <c:pt idx="40">
                  <c:v>1</c:v>
                </c:pt>
                <c:pt idx="41">
                  <c:v>0.2</c:v>
                </c:pt>
                <c:pt idx="42">
                  <c:v>0.3</c:v>
                </c:pt>
                <c:pt idx="43">
                  <c:v>-0.4</c:v>
                </c:pt>
                <c:pt idx="44">
                  <c:v>-0.3</c:v>
                </c:pt>
                <c:pt idx="45">
                  <c:v>0.7</c:v>
                </c:pt>
                <c:pt idx="46">
                  <c:v>0.8</c:v>
                </c:pt>
                <c:pt idx="47">
                  <c:v>0</c:v>
                </c:pt>
                <c:pt idx="48">
                  <c:v>0.5</c:v>
                </c:pt>
                <c:pt idx="49">
                  <c:v>0</c:v>
                </c:pt>
                <c:pt idx="50">
                  <c:v>0</c:v>
                </c:pt>
                <c:pt idx="51">
                  <c:v>0.2</c:v>
                </c:pt>
                <c:pt idx="52">
                  <c:v>-0.8</c:v>
                </c:pt>
                <c:pt idx="53">
                  <c:v>0.6</c:v>
                </c:pt>
                <c:pt idx="54">
                  <c:v>1</c:v>
                </c:pt>
                <c:pt idx="55">
                  <c:v>0.5</c:v>
                </c:pt>
                <c:pt idx="56">
                  <c:v>0</c:v>
                </c:pt>
                <c:pt idx="57">
                  <c:v>-0.2</c:v>
                </c:pt>
                <c:pt idx="58">
                  <c:v>0.1</c:v>
                </c:pt>
                <c:pt idx="59">
                  <c:v>-0.7</c:v>
                </c:pt>
                <c:pt idx="60">
                  <c:v>1.7</c:v>
                </c:pt>
                <c:pt idx="61">
                  <c:v>-0.7</c:v>
                </c:pt>
                <c:pt idx="62">
                  <c:v>0.7</c:v>
                </c:pt>
                <c:pt idx="63">
                  <c:v>0.1</c:v>
                </c:pt>
                <c:pt idx="64">
                  <c:v>-0.3</c:v>
                </c:pt>
                <c:pt idx="65">
                  <c:v>-0.1</c:v>
                </c:pt>
                <c:pt idx="66">
                  <c:v>0.3</c:v>
                </c:pt>
                <c:pt idx="67">
                  <c:v>0.5</c:v>
                </c:pt>
                <c:pt idx="68">
                  <c:v>1.1000000000000001</c:v>
                </c:pt>
                <c:pt idx="69">
                  <c:v>-0.2</c:v>
                </c:pt>
                <c:pt idx="70">
                  <c:v>0.2</c:v>
                </c:pt>
                <c:pt idx="71">
                  <c:v>0.6</c:v>
                </c:pt>
                <c:pt idx="72">
                  <c:v>0.7</c:v>
                </c:pt>
                <c:pt idx="73">
                  <c:v>0.5</c:v>
                </c:pt>
                <c:pt idx="74">
                  <c:v>-0.1</c:v>
                </c:pt>
                <c:pt idx="75">
                  <c:v>0.1</c:v>
                </c:pt>
                <c:pt idx="76">
                  <c:v>-0.2</c:v>
                </c:pt>
                <c:pt idx="77">
                  <c:v>0.9</c:v>
                </c:pt>
                <c:pt idx="78">
                  <c:v>-0.2</c:v>
                </c:pt>
                <c:pt idx="79">
                  <c:v>0.7</c:v>
                </c:pt>
                <c:pt idx="80">
                  <c:v>0.4</c:v>
                </c:pt>
                <c:pt idx="81">
                  <c:v>0.7</c:v>
                </c:pt>
                <c:pt idx="82">
                  <c:v>-0.2</c:v>
                </c:pt>
                <c:pt idx="83">
                  <c:v>0.2</c:v>
                </c:pt>
                <c:pt idx="84">
                  <c:v>-0.3</c:v>
                </c:pt>
                <c:pt idx="85">
                  <c:v>1.2</c:v>
                </c:pt>
                <c:pt idx="86">
                  <c:v>-0.5</c:v>
                </c:pt>
                <c:pt idx="87">
                  <c:v>0.6</c:v>
                </c:pt>
                <c:pt idx="88">
                  <c:v>0.6</c:v>
                </c:pt>
                <c:pt idx="89">
                  <c:v>-0.4</c:v>
                </c:pt>
                <c:pt idx="90">
                  <c:v>0.2</c:v>
                </c:pt>
                <c:pt idx="91">
                  <c:v>0.3</c:v>
                </c:pt>
                <c:pt idx="92">
                  <c:v>-0.5</c:v>
                </c:pt>
                <c:pt idx="93">
                  <c:v>1.2</c:v>
                </c:pt>
                <c:pt idx="94">
                  <c:v>0</c:v>
                </c:pt>
                <c:pt idx="95">
                  <c:v>1.2</c:v>
                </c:pt>
                <c:pt idx="96">
                  <c:v>-0.3</c:v>
                </c:pt>
                <c:pt idx="97">
                  <c:v>-0.4</c:v>
                </c:pt>
                <c:pt idx="98">
                  <c:v>-0.2</c:v>
                </c:pt>
                <c:pt idx="99">
                  <c:v>-0.4</c:v>
                </c:pt>
                <c:pt idx="100">
                  <c:v>0.1</c:v>
                </c:pt>
                <c:pt idx="101">
                  <c:v>0.1</c:v>
                </c:pt>
                <c:pt idx="102">
                  <c:v>0.4</c:v>
                </c:pt>
                <c:pt idx="103">
                  <c:v>-0.8</c:v>
                </c:pt>
                <c:pt idx="104">
                  <c:v>0.2</c:v>
                </c:pt>
                <c:pt idx="105">
                  <c:v>0</c:v>
                </c:pt>
                <c:pt idx="106">
                  <c:v>0.5</c:v>
                </c:pt>
                <c:pt idx="107">
                  <c:v>0.6</c:v>
                </c:pt>
                <c:pt idx="108">
                  <c:v>-0.8</c:v>
                </c:pt>
                <c:pt idx="109">
                  <c:v>-0.7</c:v>
                </c:pt>
                <c:pt idx="110">
                  <c:v>0.3</c:v>
                </c:pt>
                <c:pt idx="111">
                  <c:v>-0.2</c:v>
                </c:pt>
                <c:pt idx="112">
                  <c:v>0.1</c:v>
                </c:pt>
                <c:pt idx="113">
                  <c:v>-0.4</c:v>
                </c:pt>
                <c:pt idx="114">
                  <c:v>-0.8</c:v>
                </c:pt>
                <c:pt idx="115">
                  <c:v>-0.4</c:v>
                </c:pt>
                <c:pt idx="116">
                  <c:v>-1.2</c:v>
                </c:pt>
                <c:pt idx="117">
                  <c:v>-0.4</c:v>
                </c:pt>
                <c:pt idx="118">
                  <c:v>0</c:v>
                </c:pt>
                <c:pt idx="119">
                  <c:v>-0.5</c:v>
                </c:pt>
                <c:pt idx="120">
                  <c:v>1.2</c:v>
                </c:pt>
                <c:pt idx="121">
                  <c:v>-0.8</c:v>
                </c:pt>
                <c:pt idx="122">
                  <c:v>0.2</c:v>
                </c:pt>
                <c:pt idx="123">
                  <c:v>0.5</c:v>
                </c:pt>
                <c:pt idx="124">
                  <c:v>0.6</c:v>
                </c:pt>
                <c:pt idx="125">
                  <c:v>-0.4</c:v>
                </c:pt>
                <c:pt idx="126">
                  <c:v>0.4</c:v>
                </c:pt>
                <c:pt idx="127">
                  <c:v>0</c:v>
                </c:pt>
                <c:pt idx="128">
                  <c:v>0.8</c:v>
                </c:pt>
                <c:pt idx="129">
                  <c:v>0</c:v>
                </c:pt>
                <c:pt idx="130">
                  <c:v>-0.4</c:v>
                </c:pt>
                <c:pt idx="131">
                  <c:v>0.8</c:v>
                </c:pt>
                <c:pt idx="132">
                  <c:v>-0.5</c:v>
                </c:pt>
                <c:pt idx="133">
                  <c:v>1.7</c:v>
                </c:pt>
                <c:pt idx="134">
                  <c:v>-1.2</c:v>
                </c:pt>
                <c:pt idx="135">
                  <c:v>0</c:v>
                </c:pt>
                <c:pt idx="136">
                  <c:v>-0.3</c:v>
                </c:pt>
                <c:pt idx="137">
                  <c:v>-0.3</c:v>
                </c:pt>
                <c:pt idx="138">
                  <c:v>0</c:v>
                </c:pt>
                <c:pt idx="139">
                  <c:v>0.5</c:v>
                </c:pt>
                <c:pt idx="140">
                  <c:v>0.3</c:v>
                </c:pt>
                <c:pt idx="141">
                  <c:v>-0.1</c:v>
                </c:pt>
                <c:pt idx="142">
                  <c:v>0.9</c:v>
                </c:pt>
                <c:pt idx="143">
                  <c:v>-0.3</c:v>
                </c:pt>
                <c:pt idx="144">
                  <c:v>0.2</c:v>
                </c:pt>
                <c:pt idx="145">
                  <c:v>-0.1</c:v>
                </c:pt>
                <c:pt idx="146">
                  <c:v>-0.7</c:v>
                </c:pt>
                <c:pt idx="147">
                  <c:v>0.8</c:v>
                </c:pt>
                <c:pt idx="148">
                  <c:v>-1.1000000000000001</c:v>
                </c:pt>
                <c:pt idx="149">
                  <c:v>0.6</c:v>
                </c:pt>
                <c:pt idx="150">
                  <c:v>-0.2</c:v>
                </c:pt>
                <c:pt idx="151">
                  <c:v>-0.1</c:v>
                </c:pt>
                <c:pt idx="152">
                  <c:v>-0.5</c:v>
                </c:pt>
                <c:pt idx="153">
                  <c:v>0.4</c:v>
                </c:pt>
                <c:pt idx="154">
                  <c:v>0.2</c:v>
                </c:pt>
                <c:pt idx="155">
                  <c:v>-0.7</c:v>
                </c:pt>
                <c:pt idx="156">
                  <c:v>0.8</c:v>
                </c:pt>
                <c:pt idx="157">
                  <c:v>0.2</c:v>
                </c:pt>
                <c:pt idx="158">
                  <c:v>0.4</c:v>
                </c:pt>
                <c:pt idx="159">
                  <c:v>0.2</c:v>
                </c:pt>
                <c:pt idx="160">
                  <c:v>0.1</c:v>
                </c:pt>
                <c:pt idx="161">
                  <c:v>-0.2</c:v>
                </c:pt>
                <c:pt idx="162">
                  <c:v>0.3</c:v>
                </c:pt>
                <c:pt idx="163">
                  <c:v>-0.3</c:v>
                </c:pt>
                <c:pt idx="164">
                  <c:v>0.3</c:v>
                </c:pt>
                <c:pt idx="165">
                  <c:v>0.3</c:v>
                </c:pt>
                <c:pt idx="166">
                  <c:v>-0.3</c:v>
                </c:pt>
                <c:pt idx="167">
                  <c:v>-0.1</c:v>
                </c:pt>
                <c:pt idx="168">
                  <c:v>0.1</c:v>
                </c:pt>
                <c:pt idx="169">
                  <c:v>0.8</c:v>
                </c:pt>
                <c:pt idx="170">
                  <c:v>-0.6</c:v>
                </c:pt>
                <c:pt idx="171">
                  <c:v>-0.7</c:v>
                </c:pt>
                <c:pt idx="172">
                  <c:v>0.9</c:v>
                </c:pt>
                <c:pt idx="173">
                  <c:v>-0.2</c:v>
                </c:pt>
                <c:pt idx="174">
                  <c:v>0.5</c:v>
                </c:pt>
                <c:pt idx="175">
                  <c:v>0</c:v>
                </c:pt>
                <c:pt idx="176">
                  <c:v>0.4</c:v>
                </c:pt>
                <c:pt idx="177">
                  <c:v>-0.1</c:v>
                </c:pt>
                <c:pt idx="178">
                  <c:v>0.5</c:v>
                </c:pt>
                <c:pt idx="179">
                  <c:v>0.7</c:v>
                </c:pt>
                <c:pt idx="180">
                  <c:v>0.1</c:v>
                </c:pt>
                <c:pt idx="181">
                  <c:v>0</c:v>
                </c:pt>
                <c:pt idx="182">
                  <c:v>-0.3</c:v>
                </c:pt>
                <c:pt idx="183">
                  <c:v>0.1</c:v>
                </c:pt>
                <c:pt idx="184">
                  <c:v>-0.1</c:v>
                </c:pt>
                <c:pt idx="185">
                  <c:v>0.7</c:v>
                </c:pt>
                <c:pt idx="186">
                  <c:v>-0.1</c:v>
                </c:pt>
                <c:pt idx="187">
                  <c:v>0.1</c:v>
                </c:pt>
                <c:pt idx="188">
                  <c:v>0</c:v>
                </c:pt>
                <c:pt idx="189">
                  <c:v>0.5</c:v>
                </c:pt>
                <c:pt idx="190">
                  <c:v>-0.1</c:v>
                </c:pt>
                <c:pt idx="191">
                  <c:v>0.1</c:v>
                </c:pt>
                <c:pt idx="192">
                  <c:v>0.3</c:v>
                </c:pt>
                <c:pt idx="193">
                  <c:v>0.1</c:v>
                </c:pt>
                <c:pt idx="194">
                  <c:v>0.4</c:v>
                </c:pt>
                <c:pt idx="195">
                  <c:v>-0.1</c:v>
                </c:pt>
                <c:pt idx="196">
                  <c:v>0</c:v>
                </c:pt>
                <c:pt idx="197">
                  <c:v>0.2</c:v>
                </c:pt>
                <c:pt idx="198">
                  <c:v>0.3</c:v>
                </c:pt>
                <c:pt idx="199">
                  <c:v>-0.2</c:v>
                </c:pt>
                <c:pt idx="200">
                  <c:v>0.4</c:v>
                </c:pt>
                <c:pt idx="201">
                  <c:v>-0.9</c:v>
                </c:pt>
                <c:pt idx="202">
                  <c:v>0.9</c:v>
                </c:pt>
                <c:pt idx="203">
                  <c:v>0.7</c:v>
                </c:pt>
                <c:pt idx="204">
                  <c:v>0</c:v>
                </c:pt>
                <c:pt idx="205">
                  <c:v>0.6</c:v>
                </c:pt>
                <c:pt idx="206">
                  <c:v>-0.4</c:v>
                </c:pt>
                <c:pt idx="207">
                  <c:v>0.9</c:v>
                </c:pt>
                <c:pt idx="208">
                  <c:v>0.6</c:v>
                </c:pt>
                <c:pt idx="209">
                  <c:v>0.7</c:v>
                </c:pt>
                <c:pt idx="210">
                  <c:v>-0.3</c:v>
                </c:pt>
                <c:pt idx="211">
                  <c:v>0.3</c:v>
                </c:pt>
                <c:pt idx="212">
                  <c:v>0</c:v>
                </c:pt>
                <c:pt idx="213">
                  <c:v>0.6</c:v>
                </c:pt>
                <c:pt idx="214">
                  <c:v>0</c:v>
                </c:pt>
                <c:pt idx="215">
                  <c:v>0.2</c:v>
                </c:pt>
                <c:pt idx="216">
                  <c:v>0.5</c:v>
                </c:pt>
                <c:pt idx="217">
                  <c:v>-0.1</c:v>
                </c:pt>
                <c:pt idx="218">
                  <c:v>0.4</c:v>
                </c:pt>
                <c:pt idx="219">
                  <c:v>0.2</c:v>
                </c:pt>
                <c:pt idx="220">
                  <c:v>-0.3</c:v>
                </c:pt>
                <c:pt idx="221">
                  <c:v>0.8</c:v>
                </c:pt>
                <c:pt idx="222">
                  <c:v>-0.2</c:v>
                </c:pt>
                <c:pt idx="223">
                  <c:v>0.8</c:v>
                </c:pt>
                <c:pt idx="224">
                  <c:v>0.7</c:v>
                </c:pt>
                <c:pt idx="225">
                  <c:v>0.2</c:v>
                </c:pt>
                <c:pt idx="226">
                  <c:v>0.5</c:v>
                </c:pt>
                <c:pt idx="227">
                  <c:v>1.2</c:v>
                </c:pt>
                <c:pt idx="228">
                  <c:v>-0.4</c:v>
                </c:pt>
                <c:pt idx="229">
                  <c:v>0.1</c:v>
                </c:pt>
                <c:pt idx="230">
                  <c:v>0.2</c:v>
                </c:pt>
                <c:pt idx="231">
                  <c:v>-0.3</c:v>
                </c:pt>
                <c:pt idx="232">
                  <c:v>1.3</c:v>
                </c:pt>
                <c:pt idx="233">
                  <c:v>-0.7</c:v>
                </c:pt>
                <c:pt idx="234">
                  <c:v>0.6</c:v>
                </c:pt>
                <c:pt idx="235">
                  <c:v>0.3</c:v>
                </c:pt>
                <c:pt idx="236">
                  <c:v>-0.1</c:v>
                </c:pt>
                <c:pt idx="237">
                  <c:v>0.5</c:v>
                </c:pt>
                <c:pt idx="238">
                  <c:v>0.5</c:v>
                </c:pt>
                <c:pt idx="239">
                  <c:v>-1.5</c:v>
                </c:pt>
                <c:pt idx="240">
                  <c:v>1.6</c:v>
                </c:pt>
                <c:pt idx="241">
                  <c:v>-2.4</c:v>
                </c:pt>
                <c:pt idx="242">
                  <c:v>1.3</c:v>
                </c:pt>
                <c:pt idx="243">
                  <c:v>0.9</c:v>
                </c:pt>
                <c:pt idx="244">
                  <c:v>0.2</c:v>
                </c:pt>
                <c:pt idx="245">
                  <c:v>0.6</c:v>
                </c:pt>
                <c:pt idx="246">
                  <c:v>1</c:v>
                </c:pt>
                <c:pt idx="247">
                  <c:v>0.3</c:v>
                </c:pt>
                <c:pt idx="248">
                  <c:v>-0.9</c:v>
                </c:pt>
                <c:pt idx="249">
                  <c:v>0.1</c:v>
                </c:pt>
                <c:pt idx="250">
                  <c:v>0.2</c:v>
                </c:pt>
                <c:pt idx="251">
                  <c:v>-0.2</c:v>
                </c:pt>
                <c:pt idx="252">
                  <c:v>-0.2</c:v>
                </c:pt>
                <c:pt idx="253">
                  <c:v>-0.5</c:v>
                </c:pt>
                <c:pt idx="254">
                  <c:v>19.100000000000001</c:v>
                </c:pt>
              </c:numCache>
            </c:numRef>
          </c:val>
          <c:extLst>
            <c:ext xmlns:c16="http://schemas.microsoft.com/office/drawing/2014/chart" uri="{C3380CC4-5D6E-409C-BE32-E72D297353CC}">
              <c16:uniqueId val="{00000000-BFFA-495A-8632-79506CA73E25}"/>
            </c:ext>
          </c:extLst>
        </c:ser>
        <c:dLbls>
          <c:showLegendKey val="0"/>
          <c:showVal val="0"/>
          <c:showCatName val="0"/>
          <c:showSerName val="0"/>
          <c:showPercent val="0"/>
          <c:showBubbleSize val="0"/>
        </c:dLbls>
        <c:gapWidth val="75"/>
        <c:axId val="888562399"/>
        <c:axId val="873890239"/>
      </c:barChart>
      <c:catAx>
        <c:axId val="888562399"/>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3890239"/>
        <c:crosses val="autoZero"/>
        <c:auto val="1"/>
        <c:lblAlgn val="ctr"/>
        <c:lblOffset val="100"/>
        <c:tickLblSkip val="48"/>
        <c:noMultiLvlLbl val="0"/>
      </c:catAx>
      <c:valAx>
        <c:axId val="87389023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Change from Prior</a:t>
                </a:r>
                <a:r>
                  <a:rPr lang="en-US" baseline="0"/>
                  <a:t> Month</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856239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 Anderson</dc:creator>
  <cp:keywords/>
  <dc:description/>
  <cp:lastModifiedBy>Mary Hightower</cp:lastModifiedBy>
  <cp:revision>2</cp:revision>
  <dcterms:created xsi:type="dcterms:W3CDTF">2020-05-01T13:01:00Z</dcterms:created>
  <dcterms:modified xsi:type="dcterms:W3CDTF">2020-05-01T13:01:00Z</dcterms:modified>
</cp:coreProperties>
</file>