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0B2" w:rsidRDefault="00DB70B2" w:rsidP="002F3C19">
      <w:pPr>
        <w:shd w:val="clear" w:color="auto" w:fill="FFFFFF"/>
        <w:spacing w:after="0" w:line="240" w:lineRule="auto"/>
        <w:jc w:val="center"/>
        <w:rPr>
          <w:rFonts w:ascii="Cambria" w:eastAsia="Times New Roman" w:hAnsi="Cambria" w:cs="Times New Roman"/>
          <w:b/>
          <w:sz w:val="72"/>
          <w:szCs w:val="72"/>
        </w:rPr>
      </w:pPr>
      <w:r w:rsidRPr="00D52E02">
        <w:rPr>
          <w:rFonts w:ascii="Cambria" w:hAnsi="Cambria" w:cs="Arial"/>
          <w:noProof/>
        </w:rPr>
        <w:drawing>
          <wp:anchor distT="0" distB="0" distL="114300" distR="114300" simplePos="0" relativeHeight="251659264" behindDoc="0" locked="0" layoutInCell="1" allowOverlap="1" wp14:anchorId="2221F84C" wp14:editId="0C3F3622">
            <wp:simplePos x="0" y="0"/>
            <wp:positionH relativeFrom="column">
              <wp:posOffset>1160206</wp:posOffset>
            </wp:positionH>
            <wp:positionV relativeFrom="paragraph">
              <wp:posOffset>0</wp:posOffset>
            </wp:positionV>
            <wp:extent cx="3650598" cy="6531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4" cstate="hqprint">
                      <a:extLst>
                        <a:ext uri="{28A0092B-C50C-407E-A947-70E740481C1C}">
                          <a14:useLocalDpi xmlns:a14="http://schemas.microsoft.com/office/drawing/2010/main"/>
                        </a:ext>
                      </a:extLst>
                    </a:blip>
                    <a:srcRect r="3789" b="85779"/>
                    <a:stretch/>
                  </pic:blipFill>
                  <pic:spPr bwMode="auto">
                    <a:xfrm>
                      <a:off x="0" y="0"/>
                      <a:ext cx="3650598" cy="653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0B2" w:rsidRDefault="00DB70B2" w:rsidP="002F3C19">
      <w:pPr>
        <w:shd w:val="clear" w:color="auto" w:fill="FFFFFF"/>
        <w:spacing w:after="0" w:line="240" w:lineRule="auto"/>
        <w:jc w:val="center"/>
        <w:rPr>
          <w:rFonts w:ascii="Cambria" w:eastAsia="Times New Roman" w:hAnsi="Cambria" w:cs="Times New Roman"/>
          <w:b/>
          <w:sz w:val="72"/>
          <w:szCs w:val="72"/>
        </w:rPr>
      </w:pPr>
    </w:p>
    <w:p w:rsidR="002F3C19" w:rsidRPr="00DB70B2" w:rsidRDefault="002F3C19" w:rsidP="002F3C19">
      <w:pPr>
        <w:shd w:val="clear" w:color="auto" w:fill="FFFFFF"/>
        <w:spacing w:after="0" w:line="240" w:lineRule="auto"/>
        <w:jc w:val="center"/>
        <w:rPr>
          <w:rFonts w:ascii="Cambria" w:eastAsia="Times New Roman" w:hAnsi="Cambria" w:cs="Times New Roman"/>
          <w:b/>
          <w:sz w:val="72"/>
          <w:szCs w:val="72"/>
        </w:rPr>
      </w:pPr>
      <w:r w:rsidRPr="00DB70B2">
        <w:rPr>
          <w:rFonts w:ascii="Cambria" w:eastAsia="Times New Roman" w:hAnsi="Cambria" w:cs="Times New Roman"/>
          <w:b/>
          <w:sz w:val="72"/>
          <w:szCs w:val="72"/>
        </w:rPr>
        <w:t>COVID-19 Impacts on Arkansas’ Agricultural and Rural Economies</w:t>
      </w: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FF0C3E" w:rsidRPr="00DB70B2" w:rsidRDefault="00FF0C3E" w:rsidP="002F3C19">
      <w:pPr>
        <w:shd w:val="clear" w:color="auto" w:fill="FFFFFF"/>
        <w:spacing w:after="0" w:line="240" w:lineRule="auto"/>
        <w:jc w:val="center"/>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sz w:val="40"/>
          <w:szCs w:val="40"/>
        </w:rPr>
      </w:pPr>
      <w:r w:rsidRPr="00DB70B2">
        <w:rPr>
          <w:rFonts w:ascii="Cambria" w:eastAsia="Times New Roman" w:hAnsi="Cambria" w:cs="Times New Roman"/>
          <w:b/>
          <w:sz w:val="40"/>
          <w:szCs w:val="40"/>
        </w:rPr>
        <w:t xml:space="preserve">UPDATE: </w:t>
      </w:r>
      <w:r w:rsidR="0027667F" w:rsidRPr="00DB70B2">
        <w:rPr>
          <w:rFonts w:ascii="Cambria" w:eastAsia="Times New Roman" w:hAnsi="Cambria" w:cs="Times New Roman"/>
          <w:b/>
          <w:i/>
          <w:sz w:val="40"/>
          <w:szCs w:val="40"/>
        </w:rPr>
        <w:t>Cattle on Feed</w:t>
      </w:r>
      <w:r w:rsidR="0027667F" w:rsidRPr="00DB70B2">
        <w:rPr>
          <w:rFonts w:ascii="Cambria" w:eastAsia="Times New Roman" w:hAnsi="Cambria" w:cs="Times New Roman"/>
          <w:b/>
          <w:sz w:val="40"/>
          <w:szCs w:val="40"/>
        </w:rPr>
        <w:t xml:space="preserve"> Report</w:t>
      </w:r>
    </w:p>
    <w:p w:rsidR="002F3C19" w:rsidRPr="00DB70B2" w:rsidRDefault="002F3C19" w:rsidP="002F3C19">
      <w:pPr>
        <w:shd w:val="clear" w:color="auto" w:fill="FFFFFF"/>
        <w:spacing w:after="0" w:line="240" w:lineRule="auto"/>
        <w:rPr>
          <w:rFonts w:ascii="Cambria" w:eastAsia="Times New Roman" w:hAnsi="Cambria" w:cs="Times New Roman"/>
          <w:b/>
        </w:rPr>
      </w:pPr>
    </w:p>
    <w:p w:rsidR="002F3C19" w:rsidRPr="00DB70B2" w:rsidRDefault="002F3C19" w:rsidP="002F3C19">
      <w:pPr>
        <w:shd w:val="clear" w:color="auto" w:fill="FFFFFF"/>
        <w:spacing w:after="0" w:line="240" w:lineRule="auto"/>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rPr>
      </w:pPr>
      <w:r w:rsidRPr="00DB70B2">
        <w:rPr>
          <w:rFonts w:ascii="Cambria" w:eastAsia="Times New Roman" w:hAnsi="Cambria" w:cs="Times New Roman"/>
          <w:b/>
        </w:rPr>
        <w:t>Prepared by:</w:t>
      </w: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rPr>
      </w:pPr>
      <w:r w:rsidRPr="00DB70B2">
        <w:rPr>
          <w:rFonts w:ascii="Cambria" w:eastAsia="Times New Roman" w:hAnsi="Cambria" w:cs="Times New Roman"/>
          <w:b/>
        </w:rPr>
        <w:t>John Anderson</w:t>
      </w:r>
    </w:p>
    <w:p w:rsidR="002F3C19" w:rsidRPr="00DB70B2" w:rsidRDefault="002F3C19" w:rsidP="002F3C19">
      <w:pPr>
        <w:shd w:val="clear" w:color="auto" w:fill="FFFFFF"/>
        <w:spacing w:after="0" w:line="240" w:lineRule="auto"/>
        <w:jc w:val="center"/>
        <w:rPr>
          <w:rFonts w:ascii="Cambria" w:eastAsia="Times New Roman" w:hAnsi="Cambria" w:cs="Times New Roman"/>
          <w:b/>
        </w:rPr>
      </w:pPr>
      <w:r w:rsidRPr="00DB70B2">
        <w:rPr>
          <w:rFonts w:ascii="Cambria" w:eastAsia="Times New Roman" w:hAnsi="Cambria" w:cs="Times New Roman"/>
          <w:b/>
        </w:rPr>
        <w:t xml:space="preserve">Department of Agricultural Economics and Agribusiness </w:t>
      </w: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2F3C19" w:rsidRPr="00DB70B2" w:rsidRDefault="002F3C19" w:rsidP="002F3C19">
      <w:pPr>
        <w:shd w:val="clear" w:color="auto" w:fill="FFFFFF"/>
        <w:spacing w:after="0" w:line="240" w:lineRule="auto"/>
        <w:jc w:val="center"/>
        <w:rPr>
          <w:rFonts w:ascii="Cambria" w:eastAsia="Times New Roman" w:hAnsi="Cambria" w:cs="Times New Roman"/>
          <w:b/>
        </w:rPr>
      </w:pPr>
      <w:r w:rsidRPr="00DB70B2">
        <w:rPr>
          <w:rFonts w:ascii="Cambria" w:eastAsia="Times New Roman" w:hAnsi="Cambria" w:cs="Times New Roman"/>
          <w:b/>
        </w:rPr>
        <w:t xml:space="preserve">April </w:t>
      </w:r>
      <w:r w:rsidR="0027667F" w:rsidRPr="00DB70B2">
        <w:rPr>
          <w:rFonts w:ascii="Cambria" w:eastAsia="Times New Roman" w:hAnsi="Cambria" w:cs="Times New Roman"/>
          <w:b/>
        </w:rPr>
        <w:t>24</w:t>
      </w:r>
      <w:r w:rsidRPr="00DB70B2">
        <w:rPr>
          <w:rFonts w:ascii="Cambria" w:eastAsia="Times New Roman" w:hAnsi="Cambria" w:cs="Times New Roman"/>
          <w:b/>
        </w:rPr>
        <w:t>, 2020</w:t>
      </w:r>
    </w:p>
    <w:p w:rsidR="002F3C19" w:rsidRPr="00DB70B2" w:rsidRDefault="002F3C19" w:rsidP="002F3C19">
      <w:pPr>
        <w:shd w:val="clear" w:color="auto" w:fill="FFFFFF"/>
        <w:spacing w:after="0" w:line="240" w:lineRule="auto"/>
        <w:jc w:val="center"/>
        <w:rPr>
          <w:rFonts w:ascii="Cambria" w:eastAsia="Times New Roman" w:hAnsi="Cambria" w:cs="Times New Roman"/>
          <w:b/>
        </w:rPr>
      </w:pPr>
    </w:p>
    <w:p w:rsidR="00D272E6" w:rsidRPr="00DB70B2" w:rsidRDefault="002F3C19" w:rsidP="005B0E04">
      <w:pPr>
        <w:rPr>
          <w:rFonts w:ascii="Cambria" w:hAnsi="Cambria"/>
        </w:rPr>
      </w:pPr>
      <w:r w:rsidRPr="00DB70B2">
        <w:rPr>
          <w:rFonts w:ascii="Cambria" w:hAnsi="Cambria"/>
        </w:rPr>
        <w:br w:type="page"/>
      </w:r>
      <w:r w:rsidR="005B0E04" w:rsidRPr="00DB70B2">
        <w:rPr>
          <w:rFonts w:ascii="Cambria" w:hAnsi="Cambria"/>
        </w:rPr>
        <w:lastRenderedPageBreak/>
        <w:t xml:space="preserve">USDA released the April </w:t>
      </w:r>
      <w:r w:rsidR="005B0E04" w:rsidRPr="00DB70B2">
        <w:rPr>
          <w:rFonts w:ascii="Cambria" w:hAnsi="Cambria"/>
          <w:i/>
        </w:rPr>
        <w:t>Cattle on Feed</w:t>
      </w:r>
      <w:r w:rsidR="005B0E04" w:rsidRPr="00DB70B2">
        <w:rPr>
          <w:rFonts w:ascii="Cambria" w:hAnsi="Cambria"/>
        </w:rPr>
        <w:t xml:space="preserve"> report on Friday afternoon</w:t>
      </w:r>
      <w:r w:rsidR="00AC3535">
        <w:rPr>
          <w:rFonts w:ascii="Cambria" w:hAnsi="Cambria"/>
        </w:rPr>
        <w:t xml:space="preserve"> (April 24, 2020)</w:t>
      </w:r>
      <w:r w:rsidR="005B0E04" w:rsidRPr="00DB70B2">
        <w:rPr>
          <w:rFonts w:ascii="Cambria" w:hAnsi="Cambria"/>
        </w:rPr>
        <w:t xml:space="preserve">, and the impact of COVID-19 on the cattle industry was plainly evident in the new numbers.   The inventory of cattle in feedlots as of April 1 was down a little more than 5 percent from the prior year.  This is a significant change from the March 1 inventory figure, which was about even with the prior year.  </w:t>
      </w:r>
      <w:r w:rsidR="00B65108" w:rsidRPr="00DB70B2">
        <w:rPr>
          <w:rFonts w:ascii="Cambria" w:hAnsi="Cambria"/>
        </w:rPr>
        <w:t>The decline in feedlot inventories is strongly counter-seasonal.  Typically, o</w:t>
      </w:r>
      <w:r w:rsidR="005B0E04" w:rsidRPr="00DB70B2">
        <w:rPr>
          <w:rFonts w:ascii="Cambria" w:hAnsi="Cambria"/>
        </w:rPr>
        <w:t xml:space="preserve">n-feed inventories rise from March to April at feeder cattle coming out of winter grazing programs make their way into feedlots.  This year, inventories fell sharply from March to April as aggressive marketing by feedlots during March combined with sharply lower placements of cattle into feedlots.  </w:t>
      </w:r>
    </w:p>
    <w:p w:rsidR="00B65108" w:rsidRPr="00DB70B2" w:rsidRDefault="00B65108" w:rsidP="005B0E04">
      <w:pPr>
        <w:rPr>
          <w:rFonts w:ascii="Cambria" w:hAnsi="Cambria"/>
        </w:rPr>
      </w:pPr>
      <w:r w:rsidRPr="00DB70B2">
        <w:rPr>
          <w:rFonts w:ascii="Cambria" w:hAnsi="Cambria"/>
          <w:noProof/>
        </w:rPr>
        <w:drawing>
          <wp:inline distT="0" distB="0" distL="0" distR="0" wp14:anchorId="221F9365" wp14:editId="5D034F44">
            <wp:extent cx="5063613" cy="2271251"/>
            <wp:effectExtent l="0" t="0" r="3810" b="2540"/>
            <wp:docPr id="1" name="Chart 1">
              <a:extLst xmlns:a="http://schemas.openxmlformats.org/drawingml/2006/main">
                <a:ext uri="{FF2B5EF4-FFF2-40B4-BE49-F238E27FC236}">
                  <a16:creationId xmlns:a16="http://schemas.microsoft.com/office/drawing/2014/main" id="{04304C41-4A72-498E-A9F0-CB85201975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65108" w:rsidRPr="00DB70B2" w:rsidRDefault="00B65108" w:rsidP="00FF0C3E">
      <w:pPr>
        <w:spacing w:after="0"/>
        <w:rPr>
          <w:rFonts w:ascii="Cambria" w:hAnsi="Cambria"/>
        </w:rPr>
      </w:pPr>
      <w:r w:rsidRPr="00DB70B2">
        <w:rPr>
          <w:rFonts w:ascii="Cambria" w:hAnsi="Cambria"/>
          <w:b/>
        </w:rPr>
        <w:t>Figure 1.</w:t>
      </w:r>
      <w:r w:rsidRPr="00DB70B2">
        <w:rPr>
          <w:rFonts w:ascii="Cambria" w:hAnsi="Cambria"/>
        </w:rPr>
        <w:t xml:space="preserve">  On-Feed Inventory in 1,000+ Head Capacity Feedlots</w:t>
      </w:r>
    </w:p>
    <w:p w:rsidR="00B65108" w:rsidRPr="00DB70B2" w:rsidRDefault="00B65108" w:rsidP="005B0E04">
      <w:pPr>
        <w:rPr>
          <w:rFonts w:ascii="Cambria" w:hAnsi="Cambria"/>
          <w:sz w:val="18"/>
          <w:szCs w:val="18"/>
        </w:rPr>
      </w:pPr>
      <w:r w:rsidRPr="00DB70B2">
        <w:rPr>
          <w:rFonts w:ascii="Cambria" w:hAnsi="Cambria"/>
          <w:sz w:val="18"/>
          <w:szCs w:val="18"/>
        </w:rPr>
        <w:t>Data Source: USDA National Agricultural Statistics Service</w:t>
      </w:r>
    </w:p>
    <w:p w:rsidR="005B0E04" w:rsidRPr="00DB70B2" w:rsidRDefault="005B0E04" w:rsidP="005B0E04">
      <w:pPr>
        <w:rPr>
          <w:rFonts w:ascii="Cambria" w:hAnsi="Cambria"/>
        </w:rPr>
      </w:pPr>
      <w:r w:rsidRPr="00DB70B2">
        <w:rPr>
          <w:rFonts w:ascii="Cambria" w:hAnsi="Cambria"/>
        </w:rPr>
        <w:t>March fed</w:t>
      </w:r>
      <w:r w:rsidR="00AC3535">
        <w:rPr>
          <w:rFonts w:ascii="Cambria" w:hAnsi="Cambria"/>
        </w:rPr>
        <w:t>-</w:t>
      </w:r>
      <w:r w:rsidRPr="00DB70B2">
        <w:rPr>
          <w:rFonts w:ascii="Cambria" w:hAnsi="Cambria"/>
        </w:rPr>
        <w:t xml:space="preserve">cattle </w:t>
      </w:r>
      <w:proofErr w:type="spellStart"/>
      <w:r w:rsidRPr="00DB70B2">
        <w:rPr>
          <w:rFonts w:ascii="Cambria" w:hAnsi="Cambria"/>
        </w:rPr>
        <w:t>marketings</w:t>
      </w:r>
      <w:proofErr w:type="spellEnd"/>
      <w:r w:rsidRPr="00DB70B2">
        <w:rPr>
          <w:rFonts w:ascii="Cambria" w:hAnsi="Cambria"/>
        </w:rPr>
        <w:t xml:space="preserve"> were 13 percent higher than the prior year.  This was the second highest marketing figure for March </w:t>
      </w:r>
      <w:bookmarkStart w:id="0" w:name="_Hlk38631752"/>
      <w:r w:rsidRPr="00DB70B2">
        <w:rPr>
          <w:rFonts w:ascii="Cambria" w:hAnsi="Cambria"/>
        </w:rPr>
        <w:t xml:space="preserve">since this </w:t>
      </w:r>
      <w:r w:rsidRPr="00DB70B2">
        <w:rPr>
          <w:rFonts w:ascii="Cambria" w:hAnsi="Cambria"/>
          <w:i/>
        </w:rPr>
        <w:t>COF</w:t>
      </w:r>
      <w:r w:rsidRPr="00DB70B2">
        <w:rPr>
          <w:rFonts w:ascii="Cambria" w:hAnsi="Cambria"/>
        </w:rPr>
        <w:t xml:space="preserve"> series began in 1996</w:t>
      </w:r>
      <w:bookmarkEnd w:id="0"/>
      <w:r w:rsidRPr="00DB70B2">
        <w:rPr>
          <w:rFonts w:ascii="Cambria" w:hAnsi="Cambria"/>
        </w:rPr>
        <w:t xml:space="preserve">.  The quick pace of </w:t>
      </w:r>
      <w:proofErr w:type="spellStart"/>
      <w:r w:rsidRPr="00DB70B2">
        <w:rPr>
          <w:rFonts w:ascii="Cambria" w:hAnsi="Cambria"/>
        </w:rPr>
        <w:t>marketings</w:t>
      </w:r>
      <w:proofErr w:type="spellEnd"/>
      <w:r w:rsidRPr="00DB70B2">
        <w:rPr>
          <w:rFonts w:ascii="Cambria" w:hAnsi="Cambria"/>
        </w:rPr>
        <w:t xml:space="preserve"> noted in the COF report confirms the fact that meat packers in March were operating at a very high capacity in an effort to match the surge in demand caused by panic buying.</w:t>
      </w:r>
    </w:p>
    <w:p w:rsidR="00802549" w:rsidRPr="00DB70B2" w:rsidRDefault="00802549" w:rsidP="005B0E04">
      <w:pPr>
        <w:rPr>
          <w:rFonts w:ascii="Cambria" w:hAnsi="Cambria"/>
        </w:rPr>
      </w:pPr>
      <w:r w:rsidRPr="00DB70B2">
        <w:rPr>
          <w:rFonts w:ascii="Cambria" w:hAnsi="Cambria"/>
          <w:noProof/>
        </w:rPr>
        <w:drawing>
          <wp:inline distT="0" distB="0" distL="0" distR="0" wp14:anchorId="74E2D73D" wp14:editId="617959F2">
            <wp:extent cx="5152103" cy="2379406"/>
            <wp:effectExtent l="0" t="0" r="4445" b="0"/>
            <wp:docPr id="6" name="Chart 6">
              <a:extLst xmlns:a="http://schemas.openxmlformats.org/drawingml/2006/main">
                <a:ext uri="{FF2B5EF4-FFF2-40B4-BE49-F238E27FC236}">
                  <a16:creationId xmlns:a16="http://schemas.microsoft.com/office/drawing/2014/main" id="{DCAEF187-9D63-4CAB-A9C6-B174CCF6C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2549" w:rsidRPr="00DB70B2" w:rsidRDefault="00802549" w:rsidP="00FF0C3E">
      <w:pPr>
        <w:spacing w:after="0"/>
        <w:rPr>
          <w:rFonts w:ascii="Cambria" w:hAnsi="Cambria"/>
        </w:rPr>
      </w:pPr>
      <w:r w:rsidRPr="00DB70B2">
        <w:rPr>
          <w:rFonts w:ascii="Cambria" w:hAnsi="Cambria"/>
          <w:b/>
        </w:rPr>
        <w:t>Figure 2.</w:t>
      </w:r>
      <w:r w:rsidRPr="00DB70B2">
        <w:rPr>
          <w:rFonts w:ascii="Cambria" w:hAnsi="Cambria"/>
        </w:rPr>
        <w:t xml:space="preserve">  Monthly </w:t>
      </w:r>
      <w:proofErr w:type="spellStart"/>
      <w:r w:rsidRPr="00DB70B2">
        <w:rPr>
          <w:rFonts w:ascii="Cambria" w:hAnsi="Cambria"/>
        </w:rPr>
        <w:t>Marketings</w:t>
      </w:r>
      <w:proofErr w:type="spellEnd"/>
      <w:r w:rsidRPr="00DB70B2">
        <w:rPr>
          <w:rFonts w:ascii="Cambria" w:hAnsi="Cambria"/>
        </w:rPr>
        <w:t xml:space="preserve"> of Fed Cattle from 1,000+ Head Capacity Feedlots</w:t>
      </w:r>
    </w:p>
    <w:p w:rsidR="00802549" w:rsidRPr="00DB70B2" w:rsidRDefault="00802549" w:rsidP="00802549">
      <w:pPr>
        <w:rPr>
          <w:rFonts w:ascii="Cambria" w:hAnsi="Cambria"/>
          <w:sz w:val="18"/>
          <w:szCs w:val="18"/>
        </w:rPr>
      </w:pPr>
      <w:r w:rsidRPr="00DB70B2">
        <w:rPr>
          <w:rFonts w:ascii="Cambria" w:hAnsi="Cambria"/>
          <w:sz w:val="18"/>
          <w:szCs w:val="18"/>
        </w:rPr>
        <w:t>Data Source: USDA National Agricultural Statistics Service</w:t>
      </w:r>
    </w:p>
    <w:p w:rsidR="005B0E04" w:rsidRPr="00DB70B2" w:rsidRDefault="005B0E04" w:rsidP="005B0E04">
      <w:pPr>
        <w:rPr>
          <w:rFonts w:ascii="Cambria" w:hAnsi="Cambria"/>
        </w:rPr>
      </w:pPr>
      <w:r w:rsidRPr="00DB70B2">
        <w:rPr>
          <w:rFonts w:ascii="Cambria" w:hAnsi="Cambria"/>
        </w:rPr>
        <w:lastRenderedPageBreak/>
        <w:t xml:space="preserve">On the other hand, March placements of cattle into feedlots were down by 23 percent compared to 2019.  This is the lowest March placements figure since this </w:t>
      </w:r>
      <w:r w:rsidRPr="00DB70B2">
        <w:rPr>
          <w:rFonts w:ascii="Cambria" w:hAnsi="Cambria"/>
          <w:i/>
        </w:rPr>
        <w:t>COF</w:t>
      </w:r>
      <w:r w:rsidRPr="00DB70B2">
        <w:rPr>
          <w:rFonts w:ascii="Cambria" w:hAnsi="Cambria"/>
        </w:rPr>
        <w:t xml:space="preserve"> series began in 1996</w:t>
      </w:r>
      <w:r w:rsidR="00B65108" w:rsidRPr="00DB70B2">
        <w:rPr>
          <w:rFonts w:ascii="Cambria" w:hAnsi="Cambria"/>
        </w:rPr>
        <w:t xml:space="preserve">.  It appears that many feeder cattle producers (both cow/calf and backgrounding operations) opted to hold onto their calves rather than sell them on the distressed March market.  Also, cattle feeders may have decided to keep calves in less intensive backgrounding operations to delay their final marketing as fed cattle until later in the year in hopes of a general recovery in the market.  </w:t>
      </w:r>
    </w:p>
    <w:p w:rsidR="00B65108" w:rsidRPr="00DB70B2" w:rsidRDefault="00802549" w:rsidP="005B0E04">
      <w:pPr>
        <w:rPr>
          <w:rFonts w:ascii="Cambria" w:hAnsi="Cambria"/>
        </w:rPr>
      </w:pPr>
      <w:r w:rsidRPr="00DB70B2">
        <w:rPr>
          <w:rFonts w:ascii="Cambria" w:hAnsi="Cambria"/>
          <w:noProof/>
        </w:rPr>
        <w:drawing>
          <wp:inline distT="0" distB="0" distL="0" distR="0" wp14:anchorId="288C1B75" wp14:editId="4FA3C8D9">
            <wp:extent cx="5161935" cy="2438400"/>
            <wp:effectExtent l="0" t="0" r="0" b="0"/>
            <wp:docPr id="7" name="Chart 7">
              <a:extLst xmlns:a="http://schemas.openxmlformats.org/drawingml/2006/main">
                <a:ext uri="{FF2B5EF4-FFF2-40B4-BE49-F238E27FC236}">
                  <a16:creationId xmlns:a16="http://schemas.microsoft.com/office/drawing/2014/main" id="{70800ED6-D505-47EE-BB86-2CBE7274C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2549" w:rsidRPr="00DB70B2" w:rsidRDefault="00802549" w:rsidP="00FF0C3E">
      <w:pPr>
        <w:spacing w:after="0"/>
        <w:rPr>
          <w:rFonts w:ascii="Cambria" w:hAnsi="Cambria"/>
        </w:rPr>
      </w:pPr>
      <w:r w:rsidRPr="00DB70B2">
        <w:rPr>
          <w:rFonts w:ascii="Cambria" w:hAnsi="Cambria"/>
          <w:b/>
        </w:rPr>
        <w:t>Figure 3.</w:t>
      </w:r>
      <w:r w:rsidRPr="00DB70B2">
        <w:rPr>
          <w:rFonts w:ascii="Cambria" w:hAnsi="Cambria"/>
        </w:rPr>
        <w:t xml:space="preserve">  Monthly Placements of Cattle into 1,000+ Head Capacity Feedlots</w:t>
      </w:r>
    </w:p>
    <w:p w:rsidR="00802549" w:rsidRPr="00DB70B2" w:rsidRDefault="00802549" w:rsidP="00802549">
      <w:pPr>
        <w:rPr>
          <w:rFonts w:ascii="Cambria" w:hAnsi="Cambria"/>
          <w:sz w:val="18"/>
          <w:szCs w:val="18"/>
        </w:rPr>
      </w:pPr>
      <w:r w:rsidRPr="00DB70B2">
        <w:rPr>
          <w:rFonts w:ascii="Cambria" w:hAnsi="Cambria"/>
          <w:sz w:val="18"/>
          <w:szCs w:val="18"/>
        </w:rPr>
        <w:t>Data Source: USDA National Agricultural Statistics Service</w:t>
      </w:r>
    </w:p>
    <w:p w:rsidR="00802549" w:rsidRPr="00DB70B2" w:rsidRDefault="00D060FE" w:rsidP="005B0E04">
      <w:pPr>
        <w:rPr>
          <w:rFonts w:ascii="Cambria" w:hAnsi="Cambria"/>
        </w:rPr>
      </w:pPr>
      <w:r w:rsidRPr="00DB70B2">
        <w:rPr>
          <w:rFonts w:ascii="Cambria" w:hAnsi="Cambria"/>
        </w:rPr>
        <w:t xml:space="preserve">Looking ahead, </w:t>
      </w:r>
      <w:r w:rsidR="00165B26" w:rsidRPr="00DB70B2">
        <w:rPr>
          <w:rFonts w:ascii="Cambria" w:hAnsi="Cambria"/>
        </w:rPr>
        <w:t xml:space="preserve">the on-feed situation will likely change dramatically over the next month.  The surge in </w:t>
      </w:r>
      <w:proofErr w:type="spellStart"/>
      <w:r w:rsidR="00165B26" w:rsidRPr="00DB70B2">
        <w:rPr>
          <w:rFonts w:ascii="Cambria" w:hAnsi="Cambria"/>
        </w:rPr>
        <w:t>marketings</w:t>
      </w:r>
      <w:proofErr w:type="spellEnd"/>
      <w:r w:rsidR="00165B26" w:rsidRPr="00DB70B2">
        <w:rPr>
          <w:rFonts w:ascii="Cambria" w:hAnsi="Cambria"/>
        </w:rPr>
        <w:t xml:space="preserve"> that occurred in March is clearly over.  </w:t>
      </w:r>
      <w:proofErr w:type="spellStart"/>
      <w:r w:rsidR="00165B26" w:rsidRPr="00DB70B2">
        <w:rPr>
          <w:rFonts w:ascii="Cambria" w:hAnsi="Cambria"/>
        </w:rPr>
        <w:t>Marketings</w:t>
      </w:r>
      <w:proofErr w:type="spellEnd"/>
      <w:r w:rsidR="00165B26" w:rsidRPr="00DB70B2">
        <w:rPr>
          <w:rFonts w:ascii="Cambria" w:hAnsi="Cambria"/>
        </w:rPr>
        <w:t xml:space="preserve"> will be much lower in April as a result of plant closings and slowdowns in response to COVID-19.  Weekly slaughter data already confirm this change.  This week’s federally</w:t>
      </w:r>
      <w:r w:rsidR="00AC3535">
        <w:rPr>
          <w:rFonts w:ascii="Cambria" w:hAnsi="Cambria"/>
        </w:rPr>
        <w:t xml:space="preserve"> </w:t>
      </w:r>
      <w:r w:rsidR="00165B26" w:rsidRPr="00DB70B2">
        <w:rPr>
          <w:rFonts w:ascii="Cambria" w:hAnsi="Cambria"/>
        </w:rPr>
        <w:t xml:space="preserve">inspected cattle slaughter is estimated at 469,000 head.  This is 173,000 head fewer than were harvested in the same week a year ago (a drop of </w:t>
      </w:r>
      <w:r w:rsidR="00AC3535">
        <w:rPr>
          <w:rFonts w:ascii="Cambria" w:hAnsi="Cambria"/>
        </w:rPr>
        <w:t>more than</w:t>
      </w:r>
      <w:r w:rsidR="00165B26" w:rsidRPr="00DB70B2">
        <w:rPr>
          <w:rFonts w:ascii="Cambria" w:hAnsi="Cambria"/>
        </w:rPr>
        <w:t xml:space="preserve"> 25 percent).  With such a dramatic reduction in throughput, inventories of market-ready cattle </w:t>
      </w:r>
      <w:r w:rsidR="004B5A32" w:rsidRPr="00DB70B2">
        <w:rPr>
          <w:rFonts w:ascii="Cambria" w:hAnsi="Cambria"/>
        </w:rPr>
        <w:t>will rapidly increase</w:t>
      </w:r>
      <w:r w:rsidR="00165B26" w:rsidRPr="00DB70B2">
        <w:rPr>
          <w:rFonts w:ascii="Cambria" w:hAnsi="Cambria"/>
        </w:rPr>
        <w:t xml:space="preserve">.  This will intensify negative pressure on cattle prices at all levels.  </w:t>
      </w:r>
      <w:r w:rsidR="004B5A32" w:rsidRPr="00DB70B2">
        <w:rPr>
          <w:rFonts w:ascii="Cambria" w:hAnsi="Cambria"/>
        </w:rPr>
        <w:t xml:space="preserve">Negotiated cash fed cattle prices fell below $100 per hundredweight this week for the first time since October 2016.  Price recovery will depend on getting processing plants back to normal, consistent operation.  </w:t>
      </w:r>
    </w:p>
    <w:p w:rsidR="00B65108" w:rsidRPr="00DB70B2" w:rsidRDefault="00B65108" w:rsidP="005B0E04">
      <w:pPr>
        <w:rPr>
          <w:rFonts w:ascii="Cambria" w:hAnsi="Cambria"/>
        </w:rPr>
      </w:pPr>
    </w:p>
    <w:p w:rsidR="002F3C19" w:rsidRDefault="002F3C19">
      <w:pPr>
        <w:rPr>
          <w:rFonts w:ascii="Cambria" w:hAnsi="Cambria"/>
        </w:rPr>
      </w:pPr>
    </w:p>
    <w:p w:rsidR="00DB70B2" w:rsidRDefault="00DB70B2">
      <w:pPr>
        <w:rPr>
          <w:rFonts w:ascii="Cambria" w:hAnsi="Cambria"/>
        </w:rPr>
      </w:pPr>
    </w:p>
    <w:p w:rsidR="00DB70B2" w:rsidRDefault="00DB70B2">
      <w:pPr>
        <w:rPr>
          <w:rFonts w:ascii="Cambria" w:hAnsi="Cambria"/>
        </w:rPr>
      </w:pPr>
    </w:p>
    <w:p w:rsidR="00AC3535" w:rsidRDefault="00AC3535" w:rsidP="00DB70B2">
      <w:pPr>
        <w:rPr>
          <w:rFonts w:ascii="Cambria" w:hAnsi="Cambria"/>
        </w:rPr>
      </w:pPr>
    </w:p>
    <w:p w:rsidR="00DB70B2" w:rsidRPr="00DB70B2" w:rsidRDefault="00DB70B2" w:rsidP="00DB70B2">
      <w:pPr>
        <w:rPr>
          <w:rFonts w:ascii="Cambria" w:hAnsi="Cambria"/>
        </w:rPr>
      </w:pPr>
      <w:r w:rsidRPr="009406A9">
        <w:rPr>
          <w:rFonts w:ascii="Cambria" w:hAnsi="Cambria"/>
          <w:color w:val="A6A6A6" w:themeColor="background1" w:themeShade="A6"/>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sectPr w:rsidR="00DB70B2" w:rsidRPr="00DB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F26EF"/>
    <w:rsid w:val="00165B26"/>
    <w:rsid w:val="001864B2"/>
    <w:rsid w:val="001B0892"/>
    <w:rsid w:val="0027667F"/>
    <w:rsid w:val="002F3C19"/>
    <w:rsid w:val="002F57A8"/>
    <w:rsid w:val="00307E8B"/>
    <w:rsid w:val="00323F35"/>
    <w:rsid w:val="00333AF4"/>
    <w:rsid w:val="00362BA5"/>
    <w:rsid w:val="003A0A09"/>
    <w:rsid w:val="004A3E20"/>
    <w:rsid w:val="004B57FA"/>
    <w:rsid w:val="004B5A32"/>
    <w:rsid w:val="004C721C"/>
    <w:rsid w:val="005B0E04"/>
    <w:rsid w:val="006B4454"/>
    <w:rsid w:val="00802549"/>
    <w:rsid w:val="008A0499"/>
    <w:rsid w:val="009A1BA5"/>
    <w:rsid w:val="00A5247D"/>
    <w:rsid w:val="00AA597D"/>
    <w:rsid w:val="00AC3535"/>
    <w:rsid w:val="00B153C2"/>
    <w:rsid w:val="00B65108"/>
    <w:rsid w:val="00C71B1A"/>
    <w:rsid w:val="00D060FE"/>
    <w:rsid w:val="00D272E6"/>
    <w:rsid w:val="00DB70B2"/>
    <w:rsid w:val="00DE3101"/>
    <w:rsid w:val="00E05DAC"/>
    <w:rsid w:val="00E450BE"/>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194"/>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emf"/><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44738407699039"/>
          <c:y val="5.2742479364617102E-2"/>
          <c:w val="0.77729063867016623"/>
          <c:h val="0.62190881007130749"/>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Summary!$AL$241:$AL$252</c:f>
              <c:numCache>
                <c:formatCode>0</c:formatCode>
                <c:ptCount val="12"/>
                <c:pt idx="0">
                  <c:v>10889.666666666666</c:v>
                </c:pt>
                <c:pt idx="1">
                  <c:v>11040.333333333334</c:v>
                </c:pt>
                <c:pt idx="2">
                  <c:v>11085.666666666666</c:v>
                </c:pt>
                <c:pt idx="3">
                  <c:v>11167</c:v>
                </c:pt>
                <c:pt idx="4">
                  <c:v>11113</c:v>
                </c:pt>
                <c:pt idx="5">
                  <c:v>11151</c:v>
                </c:pt>
                <c:pt idx="6">
                  <c:v>10821.333333333334</c:v>
                </c:pt>
                <c:pt idx="7">
                  <c:v>10620.666666666666</c:v>
                </c:pt>
                <c:pt idx="8">
                  <c:v>10588</c:v>
                </c:pt>
                <c:pt idx="9">
                  <c:v>10823</c:v>
                </c:pt>
                <c:pt idx="10">
                  <c:v>11229.666666666666</c:v>
                </c:pt>
                <c:pt idx="11">
                  <c:v>11302.333333333334</c:v>
                </c:pt>
              </c:numCache>
            </c:numRef>
          </c:val>
          <c:smooth val="0"/>
          <c:extLst>
            <c:ext xmlns:c16="http://schemas.microsoft.com/office/drawing/2014/chart" uri="{C3380CC4-5D6E-409C-BE32-E72D297353CC}">
              <c16:uniqueId val="{00000000-FD2B-449E-A8B8-7E5580A81B48}"/>
            </c:ext>
          </c:extLst>
        </c:ser>
        <c:ser>
          <c:idx val="3"/>
          <c:order val="1"/>
          <c:tx>
            <c:strRef>
              <c:f>Summary!$AF$231</c:f>
              <c:strCache>
                <c:ptCount val="1"/>
                <c:pt idx="0">
                  <c:v>2019</c:v>
                </c:pt>
              </c:strCache>
            </c:strRef>
          </c:tx>
          <c:marker>
            <c:symbol val="none"/>
          </c:marker>
          <c:val>
            <c:numRef>
              <c:f>Summary!$D$280:$D$291</c:f>
              <c:numCache>
                <c:formatCode>General</c:formatCode>
                <c:ptCount val="12"/>
                <c:pt idx="0">
                  <c:v>11690</c:v>
                </c:pt>
                <c:pt idx="1">
                  <c:v>11676</c:v>
                </c:pt>
                <c:pt idx="2">
                  <c:v>11785</c:v>
                </c:pt>
                <c:pt idx="3">
                  <c:v>11953</c:v>
                </c:pt>
                <c:pt idx="4">
                  <c:v>11818</c:v>
                </c:pt>
                <c:pt idx="5">
                  <c:v>11740</c:v>
                </c:pt>
                <c:pt idx="6">
                  <c:v>11480</c:v>
                </c:pt>
                <c:pt idx="7">
                  <c:v>11112</c:v>
                </c:pt>
                <c:pt idx="8">
                  <c:v>10982</c:v>
                </c:pt>
                <c:pt idx="9">
                  <c:v>11288</c:v>
                </c:pt>
                <c:pt idx="10">
                  <c:v>11816</c:v>
                </c:pt>
                <c:pt idx="11">
                  <c:v>12031</c:v>
                </c:pt>
              </c:numCache>
            </c:numRef>
          </c:val>
          <c:smooth val="0"/>
          <c:extLst>
            <c:ext xmlns:c16="http://schemas.microsoft.com/office/drawing/2014/chart" uri="{C3380CC4-5D6E-409C-BE32-E72D297353CC}">
              <c16:uniqueId val="{00000001-FD2B-449E-A8B8-7E5580A81B48}"/>
            </c:ext>
          </c:extLst>
        </c:ser>
        <c:ser>
          <c:idx val="2"/>
          <c:order val="2"/>
          <c:tx>
            <c:strRef>
              <c:f>Summary!$AF$232</c:f>
              <c:strCache>
                <c:ptCount val="1"/>
                <c:pt idx="0">
                  <c:v>2020</c:v>
                </c:pt>
              </c:strCache>
            </c:strRef>
          </c:tx>
          <c:spPr>
            <a:ln>
              <a:solidFill>
                <a:srgbClr val="C00000"/>
              </a:solidFill>
            </a:ln>
          </c:spPr>
          <c:marker>
            <c:spPr>
              <a:solidFill>
                <a:srgbClr val="C00000"/>
              </a:solidFill>
              <a:ln>
                <a:solidFill>
                  <a:srgbClr val="C00000"/>
                </a:solidFill>
              </a:ln>
            </c:spPr>
          </c:marker>
          <c:val>
            <c:numRef>
              <c:f>Summary!$D$292:$D$303</c:f>
              <c:numCache>
                <c:formatCode>General</c:formatCode>
                <c:ptCount val="12"/>
                <c:pt idx="0">
                  <c:v>11958</c:v>
                </c:pt>
                <c:pt idx="1">
                  <c:v>11928</c:v>
                </c:pt>
                <c:pt idx="2">
                  <c:v>11811</c:v>
                </c:pt>
                <c:pt idx="3">
                  <c:v>11297</c:v>
                </c:pt>
              </c:numCache>
            </c:numRef>
          </c:val>
          <c:smooth val="0"/>
          <c:extLst>
            <c:ext xmlns:c16="http://schemas.microsoft.com/office/drawing/2014/chart" uri="{C3380CC4-5D6E-409C-BE32-E72D297353CC}">
              <c16:uniqueId val="{00000002-FD2B-449E-A8B8-7E5580A81B48}"/>
            </c:ext>
          </c:extLst>
        </c:ser>
        <c:dLbls>
          <c:showLegendKey val="0"/>
          <c:showVal val="0"/>
          <c:showCatName val="0"/>
          <c:showSerName val="0"/>
          <c:showPercent val="0"/>
          <c:showBubbleSize val="0"/>
        </c:dLbls>
        <c:smooth val="0"/>
        <c:axId val="319515040"/>
        <c:axId val="319515600"/>
      </c:lineChart>
      <c:dateAx>
        <c:axId val="319515040"/>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9515600"/>
        <c:crosses val="autoZero"/>
        <c:auto val="1"/>
        <c:lblOffset val="100"/>
        <c:baseTimeUnit val="months"/>
      </c:dateAx>
      <c:valAx>
        <c:axId val="319515600"/>
        <c:scaling>
          <c:orientation val="minMax"/>
          <c:min val="9000"/>
        </c:scaling>
        <c:delete val="0"/>
        <c:axPos val="l"/>
        <c:title>
          <c:tx>
            <c:rich>
              <a:bodyPr/>
              <a:lstStyle/>
              <a:p>
                <a:pPr>
                  <a:defRPr/>
                </a:pPr>
                <a:r>
                  <a:rPr lang="en-US"/>
                  <a:t>1,000 head</a:t>
                </a:r>
              </a:p>
            </c:rich>
          </c:tx>
          <c:overlay val="0"/>
        </c:title>
        <c:numFmt formatCode="0" sourceLinked="1"/>
        <c:majorTickMark val="out"/>
        <c:minorTickMark val="none"/>
        <c:tickLblPos val="nextTo"/>
        <c:txPr>
          <a:bodyPr rot="0" vert="horz"/>
          <a:lstStyle/>
          <a:p>
            <a:pPr>
              <a:defRPr/>
            </a:pPr>
            <a:endParaRPr lang="en-US"/>
          </a:p>
        </c:txPr>
        <c:crossAx val="319515040"/>
        <c:crosses val="autoZero"/>
        <c:crossBetween val="between"/>
      </c:valAx>
    </c:plotArea>
    <c:legend>
      <c:legendPos val="b"/>
      <c:layout>
        <c:manualLayout>
          <c:xMode val="edge"/>
          <c:yMode val="edge"/>
          <c:x val="0.11825525809273839"/>
          <c:y val="0.88570013254847213"/>
          <c:w val="0.84159720034995622"/>
          <c:h val="6.7853908158611809E-2"/>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553376408423881"/>
          <c:y val="5.8516441989254007E-2"/>
          <c:w val="0.777007874015748"/>
          <c:h val="0.64300013345789409"/>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Summary!$AM$241:$AM$252</c:f>
              <c:numCache>
                <c:formatCode>0</c:formatCode>
                <c:ptCount val="12"/>
                <c:pt idx="0">
                  <c:v>1732.6666666666667</c:v>
                </c:pt>
                <c:pt idx="1">
                  <c:v>1638</c:v>
                </c:pt>
                <c:pt idx="2">
                  <c:v>1833.6666666666667</c:v>
                </c:pt>
                <c:pt idx="3">
                  <c:v>1721.3333333333333</c:v>
                </c:pt>
                <c:pt idx="4">
                  <c:v>1933.6666666666667</c:v>
                </c:pt>
                <c:pt idx="5">
                  <c:v>1969</c:v>
                </c:pt>
                <c:pt idx="6">
                  <c:v>1790</c:v>
                </c:pt>
                <c:pt idx="7">
                  <c:v>1943.3333333333333</c:v>
                </c:pt>
                <c:pt idx="8">
                  <c:v>1744.6666666666667</c:v>
                </c:pt>
                <c:pt idx="9">
                  <c:v>1797.6666666666667</c:v>
                </c:pt>
                <c:pt idx="10">
                  <c:v>1833.3333333333333</c:v>
                </c:pt>
                <c:pt idx="11">
                  <c:v>1756.6666666666667</c:v>
                </c:pt>
              </c:numCache>
            </c:numRef>
          </c:val>
          <c:smooth val="0"/>
          <c:extLst>
            <c:ext xmlns:c16="http://schemas.microsoft.com/office/drawing/2014/chart" uri="{C3380CC4-5D6E-409C-BE32-E72D297353CC}">
              <c16:uniqueId val="{00000000-B2F5-4017-9D59-C7BDC71403AC}"/>
            </c:ext>
          </c:extLst>
        </c:ser>
        <c:ser>
          <c:idx val="3"/>
          <c:order val="1"/>
          <c:tx>
            <c:strRef>
              <c:f>Summary!$B$280</c:f>
              <c:strCache>
                <c:ptCount val="1"/>
                <c:pt idx="0">
                  <c:v>2019</c:v>
                </c:pt>
              </c:strCache>
            </c:strRef>
          </c:tx>
          <c:marker>
            <c:symbol val="none"/>
          </c:marker>
          <c:val>
            <c:numRef>
              <c:f>Summary!$E$280:$E$291</c:f>
              <c:numCache>
                <c:formatCode>General</c:formatCode>
                <c:ptCount val="12"/>
                <c:pt idx="0">
                  <c:v>1910</c:v>
                </c:pt>
                <c:pt idx="1">
                  <c:v>1683</c:v>
                </c:pt>
                <c:pt idx="2">
                  <c:v>1777</c:v>
                </c:pt>
                <c:pt idx="3">
                  <c:v>1928</c:v>
                </c:pt>
                <c:pt idx="4">
                  <c:v>2070</c:v>
                </c:pt>
                <c:pt idx="5">
                  <c:v>1943</c:v>
                </c:pt>
                <c:pt idx="6">
                  <c:v>2002</c:v>
                </c:pt>
                <c:pt idx="7">
                  <c:v>1953</c:v>
                </c:pt>
                <c:pt idx="8">
                  <c:v>1738</c:v>
                </c:pt>
                <c:pt idx="9">
                  <c:v>1875</c:v>
                </c:pt>
                <c:pt idx="10">
                  <c:v>1813</c:v>
                </c:pt>
                <c:pt idx="11">
                  <c:v>1834</c:v>
                </c:pt>
              </c:numCache>
            </c:numRef>
          </c:val>
          <c:smooth val="0"/>
          <c:extLst>
            <c:ext xmlns:c16="http://schemas.microsoft.com/office/drawing/2014/chart" uri="{C3380CC4-5D6E-409C-BE32-E72D297353CC}">
              <c16:uniqueId val="{00000001-B2F5-4017-9D59-C7BDC71403AC}"/>
            </c:ext>
          </c:extLst>
        </c:ser>
        <c:ser>
          <c:idx val="1"/>
          <c:order val="2"/>
          <c:tx>
            <c:strRef>
              <c:f>Summary!$AF$232</c:f>
              <c:strCache>
                <c:ptCount val="1"/>
                <c:pt idx="0">
                  <c:v>2020</c:v>
                </c:pt>
              </c:strCache>
            </c:strRef>
          </c:tx>
          <c:val>
            <c:numRef>
              <c:f>Summary!$E$292:$E$303</c:f>
              <c:numCache>
                <c:formatCode>General</c:formatCode>
                <c:ptCount val="12"/>
                <c:pt idx="0">
                  <c:v>1931</c:v>
                </c:pt>
                <c:pt idx="1">
                  <c:v>1775</c:v>
                </c:pt>
                <c:pt idx="2">
                  <c:v>2010</c:v>
                </c:pt>
              </c:numCache>
            </c:numRef>
          </c:val>
          <c:smooth val="0"/>
          <c:extLst>
            <c:ext xmlns:c16="http://schemas.microsoft.com/office/drawing/2014/chart" uri="{C3380CC4-5D6E-409C-BE32-E72D297353CC}">
              <c16:uniqueId val="{00000002-B2F5-4017-9D59-C7BDC71403AC}"/>
            </c:ext>
          </c:extLst>
        </c:ser>
        <c:dLbls>
          <c:showLegendKey val="0"/>
          <c:showVal val="0"/>
          <c:showCatName val="0"/>
          <c:showSerName val="0"/>
          <c:showPercent val="0"/>
          <c:showBubbleSize val="0"/>
        </c:dLbls>
        <c:smooth val="0"/>
        <c:axId val="318782000"/>
        <c:axId val="318782560"/>
      </c:lineChart>
      <c:dateAx>
        <c:axId val="318782000"/>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8782560"/>
        <c:crosses val="autoZero"/>
        <c:auto val="1"/>
        <c:lblOffset val="100"/>
        <c:baseTimeUnit val="months"/>
      </c:dateAx>
      <c:valAx>
        <c:axId val="318782560"/>
        <c:scaling>
          <c:orientation val="minMax"/>
          <c:min val="1000"/>
        </c:scaling>
        <c:delete val="0"/>
        <c:axPos val="l"/>
        <c:title>
          <c:tx>
            <c:rich>
              <a:bodyPr/>
              <a:lstStyle/>
              <a:p>
                <a:pPr>
                  <a:defRPr/>
                </a:pPr>
                <a:r>
                  <a:rPr lang="en-US"/>
                  <a:t>1,000 head</a:t>
                </a:r>
              </a:p>
            </c:rich>
          </c:tx>
          <c:overlay val="0"/>
        </c:title>
        <c:numFmt formatCode="0" sourceLinked="1"/>
        <c:majorTickMark val="out"/>
        <c:minorTickMark val="none"/>
        <c:tickLblPos val="nextTo"/>
        <c:txPr>
          <a:bodyPr rot="0" vert="horz"/>
          <a:lstStyle/>
          <a:p>
            <a:pPr>
              <a:defRPr/>
            </a:pPr>
            <a:endParaRPr lang="en-US"/>
          </a:p>
        </c:txPr>
        <c:crossAx val="318782000"/>
        <c:crosses val="autoZero"/>
        <c:crossBetween val="between"/>
      </c:valAx>
    </c:plotArea>
    <c:legend>
      <c:legendPos val="b"/>
      <c:layout>
        <c:manualLayout>
          <c:xMode val="edge"/>
          <c:yMode val="edge"/>
          <c:x val="0.1024694076828787"/>
          <c:y val="0.86393834245295609"/>
          <c:w val="0.84783163318305532"/>
          <c:h val="0.10216335246229814"/>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275551376973401"/>
          <c:y val="5.8516441989253987E-2"/>
          <c:w val="0.74978587378070283"/>
          <c:h val="0.65078660277958544"/>
        </c:manualLayout>
      </c:layout>
      <c:lineChart>
        <c:grouping val="standard"/>
        <c:varyColors val="0"/>
        <c:ser>
          <c:idx val="0"/>
          <c:order val="0"/>
          <c:tx>
            <c:strRef>
              <c:f>Summary!$AL$239</c:f>
              <c:strCache>
                <c:ptCount val="1"/>
                <c:pt idx="0">
                  <c:v>Avg. 2016-18</c:v>
                </c:pt>
              </c:strCache>
            </c:strRef>
          </c:tx>
          <c:spPr>
            <a:ln>
              <a:prstDash val="sysDash"/>
            </a:ln>
          </c:spPr>
          <c:marker>
            <c:symbol val="none"/>
          </c:marker>
          <c:cat>
            <c:numRef>
              <c:f>Summary!$A$160:$A$171</c:f>
              <c:numCache>
                <c:formatCode>mmm\-yy</c:formatCode>
                <c:ptCount val="12"/>
                <c:pt idx="0">
                  <c:v>39814</c:v>
                </c:pt>
                <c:pt idx="1">
                  <c:v>39845</c:v>
                </c:pt>
                <c:pt idx="2">
                  <c:v>39873</c:v>
                </c:pt>
                <c:pt idx="3">
                  <c:v>39904</c:v>
                </c:pt>
                <c:pt idx="4">
                  <c:v>39934</c:v>
                </c:pt>
                <c:pt idx="5">
                  <c:v>39965</c:v>
                </c:pt>
                <c:pt idx="6">
                  <c:v>39995</c:v>
                </c:pt>
                <c:pt idx="7">
                  <c:v>40026</c:v>
                </c:pt>
                <c:pt idx="8">
                  <c:v>40057</c:v>
                </c:pt>
                <c:pt idx="9">
                  <c:v>40087</c:v>
                </c:pt>
                <c:pt idx="10">
                  <c:v>40118</c:v>
                </c:pt>
                <c:pt idx="11">
                  <c:v>40148</c:v>
                </c:pt>
              </c:numCache>
            </c:numRef>
          </c:cat>
          <c:val>
            <c:numRef>
              <c:f>Summary!$AN$241:$AN$252</c:f>
              <c:numCache>
                <c:formatCode>0</c:formatCode>
                <c:ptCount val="12"/>
                <c:pt idx="0">
                  <c:v>1942.6666666666667</c:v>
                </c:pt>
                <c:pt idx="1">
                  <c:v>1740.3333333333333</c:v>
                </c:pt>
                <c:pt idx="2">
                  <c:v>1976.6666666666667</c:v>
                </c:pt>
                <c:pt idx="3">
                  <c:v>1735.6666666666667</c:v>
                </c:pt>
                <c:pt idx="4">
                  <c:v>2044</c:v>
                </c:pt>
                <c:pt idx="5">
                  <c:v>1697.6666666666667</c:v>
                </c:pt>
                <c:pt idx="6">
                  <c:v>1643</c:v>
                </c:pt>
                <c:pt idx="7">
                  <c:v>1959</c:v>
                </c:pt>
                <c:pt idx="8">
                  <c:v>2032</c:v>
                </c:pt>
                <c:pt idx="9">
                  <c:v>2270.6666666666665</c:v>
                </c:pt>
                <c:pt idx="10">
                  <c:v>1979.3333333333333</c:v>
                </c:pt>
                <c:pt idx="11">
                  <c:v>1783.6666666666667</c:v>
                </c:pt>
              </c:numCache>
            </c:numRef>
          </c:val>
          <c:smooth val="0"/>
          <c:extLst>
            <c:ext xmlns:c16="http://schemas.microsoft.com/office/drawing/2014/chart" uri="{C3380CC4-5D6E-409C-BE32-E72D297353CC}">
              <c16:uniqueId val="{00000000-6CE5-4479-8FDE-CEC390A34F7C}"/>
            </c:ext>
          </c:extLst>
        </c:ser>
        <c:ser>
          <c:idx val="3"/>
          <c:order val="1"/>
          <c:tx>
            <c:strRef>
              <c:f>Summary!$B$280</c:f>
              <c:strCache>
                <c:ptCount val="1"/>
                <c:pt idx="0">
                  <c:v>2019</c:v>
                </c:pt>
              </c:strCache>
            </c:strRef>
          </c:tx>
          <c:marker>
            <c:symbol val="none"/>
          </c:marker>
          <c:val>
            <c:numRef>
              <c:f>Summary!$F$280:$F$291</c:f>
              <c:numCache>
                <c:formatCode>General</c:formatCode>
                <c:ptCount val="12"/>
                <c:pt idx="0">
                  <c:v>1969</c:v>
                </c:pt>
                <c:pt idx="1">
                  <c:v>1858</c:v>
                </c:pt>
                <c:pt idx="2">
                  <c:v>2014</c:v>
                </c:pt>
                <c:pt idx="3">
                  <c:v>1842</c:v>
                </c:pt>
                <c:pt idx="4">
                  <c:v>2064</c:v>
                </c:pt>
                <c:pt idx="5">
                  <c:v>1749</c:v>
                </c:pt>
                <c:pt idx="6">
                  <c:v>1705</c:v>
                </c:pt>
                <c:pt idx="7">
                  <c:v>1884</c:v>
                </c:pt>
                <c:pt idx="8">
                  <c:v>2103</c:v>
                </c:pt>
                <c:pt idx="9">
                  <c:v>2462</c:v>
                </c:pt>
                <c:pt idx="10">
                  <c:v>2093</c:v>
                </c:pt>
                <c:pt idx="11">
                  <c:v>1828</c:v>
                </c:pt>
              </c:numCache>
            </c:numRef>
          </c:val>
          <c:smooth val="0"/>
          <c:extLst>
            <c:ext xmlns:c16="http://schemas.microsoft.com/office/drawing/2014/chart" uri="{C3380CC4-5D6E-409C-BE32-E72D297353CC}">
              <c16:uniqueId val="{00000001-6CE5-4479-8FDE-CEC390A34F7C}"/>
            </c:ext>
          </c:extLst>
        </c:ser>
        <c:ser>
          <c:idx val="1"/>
          <c:order val="2"/>
          <c:tx>
            <c:strRef>
              <c:f>Summary!$AF$232</c:f>
              <c:strCache>
                <c:ptCount val="1"/>
                <c:pt idx="0">
                  <c:v>2020</c:v>
                </c:pt>
              </c:strCache>
            </c:strRef>
          </c:tx>
          <c:val>
            <c:numRef>
              <c:f>Summary!$F$292:$F$303</c:f>
              <c:numCache>
                <c:formatCode>General</c:formatCode>
                <c:ptCount val="12"/>
                <c:pt idx="0">
                  <c:v>1955</c:v>
                </c:pt>
                <c:pt idx="1">
                  <c:v>1716</c:v>
                </c:pt>
                <c:pt idx="2">
                  <c:v>1557</c:v>
                </c:pt>
              </c:numCache>
            </c:numRef>
          </c:val>
          <c:smooth val="0"/>
          <c:extLst>
            <c:ext xmlns:c16="http://schemas.microsoft.com/office/drawing/2014/chart" uri="{C3380CC4-5D6E-409C-BE32-E72D297353CC}">
              <c16:uniqueId val="{00000002-6CE5-4479-8FDE-CEC390A34F7C}"/>
            </c:ext>
          </c:extLst>
        </c:ser>
        <c:dLbls>
          <c:showLegendKey val="0"/>
          <c:showVal val="0"/>
          <c:showCatName val="0"/>
          <c:showSerName val="0"/>
          <c:showPercent val="0"/>
          <c:showBubbleSize val="0"/>
        </c:dLbls>
        <c:smooth val="0"/>
        <c:axId val="316453744"/>
        <c:axId val="316454304"/>
      </c:lineChart>
      <c:dateAx>
        <c:axId val="316453744"/>
        <c:scaling>
          <c:orientation val="minMax"/>
        </c:scaling>
        <c:delete val="0"/>
        <c:axPos val="b"/>
        <c:title>
          <c:tx>
            <c:rich>
              <a:bodyPr/>
              <a:lstStyle/>
              <a:p>
                <a:pPr>
                  <a:defRPr/>
                </a:pPr>
                <a:r>
                  <a:rPr lang="en-US"/>
                  <a:t>Month</a:t>
                </a:r>
              </a:p>
            </c:rich>
          </c:tx>
          <c:overlay val="0"/>
        </c:title>
        <c:numFmt formatCode="[$-409]mmmmm;@" sourceLinked="0"/>
        <c:majorTickMark val="out"/>
        <c:minorTickMark val="none"/>
        <c:tickLblPos val="nextTo"/>
        <c:txPr>
          <a:bodyPr rot="0" vert="horz"/>
          <a:lstStyle/>
          <a:p>
            <a:pPr>
              <a:defRPr/>
            </a:pPr>
            <a:endParaRPr lang="en-US"/>
          </a:p>
        </c:txPr>
        <c:crossAx val="316454304"/>
        <c:crosses val="autoZero"/>
        <c:auto val="1"/>
        <c:lblOffset val="100"/>
        <c:baseTimeUnit val="months"/>
      </c:dateAx>
      <c:valAx>
        <c:axId val="316454304"/>
        <c:scaling>
          <c:orientation val="minMax"/>
          <c:min val="1000"/>
        </c:scaling>
        <c:delete val="0"/>
        <c:axPos val="l"/>
        <c:title>
          <c:tx>
            <c:rich>
              <a:bodyPr/>
              <a:lstStyle/>
              <a:p>
                <a:pPr>
                  <a:defRPr/>
                </a:pPr>
                <a:r>
                  <a:rPr lang="en-US"/>
                  <a:t>1,000 head</a:t>
                </a:r>
              </a:p>
            </c:rich>
          </c:tx>
          <c:overlay val="0"/>
        </c:title>
        <c:numFmt formatCode="0" sourceLinked="1"/>
        <c:majorTickMark val="out"/>
        <c:minorTickMark val="none"/>
        <c:tickLblPos val="nextTo"/>
        <c:txPr>
          <a:bodyPr rot="0" vert="horz"/>
          <a:lstStyle/>
          <a:p>
            <a:pPr>
              <a:defRPr/>
            </a:pPr>
            <a:endParaRPr lang="en-US"/>
          </a:p>
        </c:txPr>
        <c:crossAx val="316453744"/>
        <c:crosses val="autoZero"/>
        <c:crossBetween val="between"/>
      </c:valAx>
    </c:plotArea>
    <c:legend>
      <c:legendPos val="b"/>
      <c:layout>
        <c:manualLayout>
          <c:xMode val="edge"/>
          <c:yMode val="edge"/>
          <c:x val="7.0525482822109908E-2"/>
          <c:y val="0.89286355205599299"/>
          <c:w val="0.8879837035295961"/>
          <c:h val="6.5828276006773934E-2"/>
        </c:manualLayout>
      </c:layout>
      <c:overlay val="0"/>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4</cp:revision>
  <dcterms:created xsi:type="dcterms:W3CDTF">2020-04-27T18:55:00Z</dcterms:created>
  <dcterms:modified xsi:type="dcterms:W3CDTF">2020-04-27T18:59:00Z</dcterms:modified>
</cp:coreProperties>
</file>