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0072" w14:textId="3A9F1613" w:rsidR="00B23899" w:rsidRDefault="00B23899" w:rsidP="002F3C19">
      <w:pPr>
        <w:shd w:val="clear" w:color="auto" w:fill="FFFFFF"/>
        <w:spacing w:after="0" w:line="240" w:lineRule="auto"/>
        <w:jc w:val="center"/>
        <w:rPr>
          <w:rFonts w:ascii="Cambria" w:eastAsia="Times New Roman" w:hAnsi="Cambria" w:cs="Calibri"/>
          <w:b/>
          <w:sz w:val="28"/>
          <w:szCs w:val="28"/>
        </w:rPr>
      </w:pPr>
      <w:r>
        <w:rPr>
          <w:rFonts w:ascii="Cambria" w:eastAsia="Times New Roman" w:hAnsi="Cambria" w:cs="Calibri"/>
          <w:b/>
          <w:noProof/>
          <w:sz w:val="28"/>
          <w:szCs w:val="28"/>
        </w:rPr>
        <w:drawing>
          <wp:inline distT="0" distB="0" distL="0" distR="0" wp14:anchorId="041EB5CD" wp14:editId="29C9CF13">
            <wp:extent cx="2565400" cy="4826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5400" cy="482600"/>
                    </a:xfrm>
                    <a:prstGeom prst="rect">
                      <a:avLst/>
                    </a:prstGeom>
                  </pic:spPr>
                </pic:pic>
              </a:graphicData>
            </a:graphic>
          </wp:inline>
        </w:drawing>
      </w:r>
    </w:p>
    <w:p w14:paraId="24EA8CD2" w14:textId="77777777" w:rsidR="00B23899" w:rsidRDefault="00B23899" w:rsidP="002F3C19">
      <w:pPr>
        <w:shd w:val="clear" w:color="auto" w:fill="FFFFFF"/>
        <w:spacing w:after="0" w:line="240" w:lineRule="auto"/>
        <w:jc w:val="center"/>
        <w:rPr>
          <w:rFonts w:ascii="Cambria" w:eastAsia="Times New Roman" w:hAnsi="Cambria" w:cs="Calibri"/>
          <w:b/>
          <w:sz w:val="28"/>
          <w:szCs w:val="28"/>
        </w:rPr>
      </w:pPr>
    </w:p>
    <w:p w14:paraId="2301B188" w14:textId="77777777" w:rsidR="00B23899" w:rsidRDefault="00B23899" w:rsidP="002F3C19">
      <w:pPr>
        <w:shd w:val="clear" w:color="auto" w:fill="FFFFFF"/>
        <w:spacing w:after="0" w:line="240" w:lineRule="auto"/>
        <w:jc w:val="center"/>
        <w:rPr>
          <w:rFonts w:ascii="Cambria" w:eastAsia="Times New Roman" w:hAnsi="Cambria" w:cs="Calibri"/>
          <w:b/>
          <w:sz w:val="28"/>
          <w:szCs w:val="28"/>
        </w:rPr>
      </w:pPr>
    </w:p>
    <w:p w14:paraId="2C7092A7" w14:textId="77777777" w:rsidR="00B23899" w:rsidRDefault="00B23899" w:rsidP="002F3C19">
      <w:pPr>
        <w:shd w:val="clear" w:color="auto" w:fill="FFFFFF"/>
        <w:spacing w:after="0" w:line="240" w:lineRule="auto"/>
        <w:jc w:val="center"/>
        <w:rPr>
          <w:rFonts w:ascii="Cambria" w:eastAsia="Times New Roman" w:hAnsi="Cambria" w:cs="Calibri"/>
          <w:b/>
          <w:sz w:val="28"/>
          <w:szCs w:val="28"/>
        </w:rPr>
      </w:pPr>
    </w:p>
    <w:p w14:paraId="0138FDFA" w14:textId="77777777" w:rsidR="00B23899" w:rsidRDefault="00B23899" w:rsidP="002F3C19">
      <w:pPr>
        <w:shd w:val="clear" w:color="auto" w:fill="FFFFFF"/>
        <w:spacing w:after="0" w:line="240" w:lineRule="auto"/>
        <w:jc w:val="center"/>
        <w:rPr>
          <w:rFonts w:ascii="Cambria" w:eastAsia="Times New Roman" w:hAnsi="Cambria" w:cs="Calibri"/>
          <w:b/>
          <w:sz w:val="28"/>
          <w:szCs w:val="28"/>
        </w:rPr>
      </w:pPr>
    </w:p>
    <w:p w14:paraId="04128EEB" w14:textId="75B6CF3B" w:rsidR="002F3C19" w:rsidRPr="00B23899" w:rsidRDefault="002F3C19" w:rsidP="002F3C19">
      <w:pPr>
        <w:shd w:val="clear" w:color="auto" w:fill="FFFFFF"/>
        <w:spacing w:after="0" w:line="240" w:lineRule="auto"/>
        <w:jc w:val="center"/>
        <w:rPr>
          <w:rFonts w:ascii="Cambria" w:eastAsia="Times New Roman" w:hAnsi="Cambria" w:cs="Calibri"/>
          <w:b/>
          <w:sz w:val="28"/>
          <w:szCs w:val="28"/>
        </w:rPr>
      </w:pPr>
      <w:r w:rsidRPr="00B23899">
        <w:rPr>
          <w:rFonts w:ascii="Cambria" w:eastAsia="Times New Roman" w:hAnsi="Cambria" w:cs="Calibri"/>
          <w:b/>
          <w:sz w:val="28"/>
          <w:szCs w:val="28"/>
        </w:rPr>
        <w:t>COVID-19 Impacts on Arkansas’ Agricultural and Rural Economies</w:t>
      </w:r>
    </w:p>
    <w:p w14:paraId="57018B7C" w14:textId="77777777" w:rsidR="002F3C19" w:rsidRPr="00B23899" w:rsidRDefault="002F3C19" w:rsidP="002F3C19">
      <w:pPr>
        <w:shd w:val="clear" w:color="auto" w:fill="FFFFFF"/>
        <w:spacing w:after="0" w:line="240" w:lineRule="auto"/>
        <w:jc w:val="center"/>
        <w:rPr>
          <w:rFonts w:ascii="Cambria" w:eastAsia="Times New Roman" w:hAnsi="Cambria" w:cs="Calibri"/>
          <w:b/>
        </w:rPr>
      </w:pPr>
    </w:p>
    <w:p w14:paraId="71510423" w14:textId="77777777" w:rsidR="00FF0C3E" w:rsidRPr="00B23899" w:rsidRDefault="00FF0C3E" w:rsidP="002F3C19">
      <w:pPr>
        <w:shd w:val="clear" w:color="auto" w:fill="FFFFFF"/>
        <w:spacing w:after="0" w:line="240" w:lineRule="auto"/>
        <w:jc w:val="center"/>
        <w:rPr>
          <w:rFonts w:ascii="Cambria" w:eastAsia="Times New Roman" w:hAnsi="Cambria" w:cs="Calibri"/>
          <w:b/>
        </w:rPr>
      </w:pPr>
    </w:p>
    <w:p w14:paraId="4C18A8BA" w14:textId="77777777" w:rsidR="002F3C19" w:rsidRPr="00B23899" w:rsidRDefault="002F3C19" w:rsidP="002F3C19">
      <w:pPr>
        <w:shd w:val="clear" w:color="auto" w:fill="FFFFFF"/>
        <w:spacing w:after="0" w:line="240" w:lineRule="auto"/>
        <w:jc w:val="center"/>
        <w:rPr>
          <w:rFonts w:ascii="Cambria" w:eastAsia="Times New Roman" w:hAnsi="Cambria" w:cs="Calibri"/>
          <w:b/>
          <w:sz w:val="48"/>
          <w:szCs w:val="48"/>
        </w:rPr>
      </w:pPr>
      <w:r w:rsidRPr="00B23899">
        <w:rPr>
          <w:rFonts w:ascii="Cambria" w:eastAsia="Times New Roman" w:hAnsi="Cambria" w:cs="Calibri"/>
          <w:b/>
          <w:sz w:val="48"/>
          <w:szCs w:val="48"/>
        </w:rPr>
        <w:t xml:space="preserve">UPDATE: </w:t>
      </w:r>
      <w:r w:rsidR="00E66924" w:rsidRPr="00B23899">
        <w:rPr>
          <w:rFonts w:ascii="Cambria" w:eastAsia="Times New Roman" w:hAnsi="Cambria" w:cs="Calibri"/>
          <w:b/>
          <w:sz w:val="48"/>
          <w:szCs w:val="48"/>
        </w:rPr>
        <w:t>November</w:t>
      </w:r>
      <w:r w:rsidR="00E63E73" w:rsidRPr="00B23899">
        <w:rPr>
          <w:rFonts w:ascii="Cambria" w:eastAsia="Times New Roman" w:hAnsi="Cambria" w:cs="Calibri"/>
          <w:b/>
          <w:sz w:val="48"/>
          <w:szCs w:val="48"/>
        </w:rPr>
        <w:t xml:space="preserve"> Employment Report</w:t>
      </w:r>
    </w:p>
    <w:p w14:paraId="690DC4B4" w14:textId="77777777" w:rsidR="002F3C19" w:rsidRPr="00B23899" w:rsidRDefault="002F3C19" w:rsidP="002F3C19">
      <w:pPr>
        <w:shd w:val="clear" w:color="auto" w:fill="FFFFFF"/>
        <w:spacing w:after="0" w:line="240" w:lineRule="auto"/>
        <w:rPr>
          <w:rFonts w:ascii="Cambria" w:eastAsia="Times New Roman" w:hAnsi="Cambria" w:cs="Calibri"/>
          <w:b/>
        </w:rPr>
      </w:pPr>
    </w:p>
    <w:p w14:paraId="50402520" w14:textId="77777777" w:rsidR="002F3C19" w:rsidRPr="00B23899" w:rsidRDefault="002F3C19" w:rsidP="002F3C19">
      <w:pPr>
        <w:shd w:val="clear" w:color="auto" w:fill="FFFFFF"/>
        <w:spacing w:after="0" w:line="240" w:lineRule="auto"/>
        <w:rPr>
          <w:rFonts w:ascii="Cambria" w:eastAsia="Times New Roman" w:hAnsi="Cambria" w:cs="Calibri"/>
          <w:b/>
        </w:rPr>
      </w:pPr>
    </w:p>
    <w:p w14:paraId="47DD2081" w14:textId="77777777" w:rsidR="002F3C19" w:rsidRPr="00B23899" w:rsidRDefault="002F3C19" w:rsidP="002F3C19">
      <w:pPr>
        <w:shd w:val="clear" w:color="auto" w:fill="FFFFFF"/>
        <w:spacing w:after="0" w:line="240" w:lineRule="auto"/>
        <w:jc w:val="center"/>
        <w:rPr>
          <w:rFonts w:ascii="Cambria" w:eastAsia="Times New Roman" w:hAnsi="Cambria" w:cs="Calibri"/>
          <w:b/>
        </w:rPr>
      </w:pPr>
      <w:r w:rsidRPr="00B23899">
        <w:rPr>
          <w:rFonts w:ascii="Cambria" w:eastAsia="Times New Roman" w:hAnsi="Cambria" w:cs="Calibri"/>
          <w:b/>
        </w:rPr>
        <w:t>Prepared by:</w:t>
      </w:r>
    </w:p>
    <w:p w14:paraId="0934D394" w14:textId="77777777" w:rsidR="002F3C19" w:rsidRPr="00B23899" w:rsidRDefault="002F3C19" w:rsidP="002F3C19">
      <w:pPr>
        <w:shd w:val="clear" w:color="auto" w:fill="FFFFFF"/>
        <w:spacing w:after="0" w:line="240" w:lineRule="auto"/>
        <w:jc w:val="center"/>
        <w:rPr>
          <w:rFonts w:ascii="Cambria" w:eastAsia="Times New Roman" w:hAnsi="Cambria" w:cs="Calibri"/>
          <w:b/>
        </w:rPr>
      </w:pPr>
    </w:p>
    <w:p w14:paraId="4AA578A8" w14:textId="77777777" w:rsidR="002F3C19" w:rsidRPr="00B23899" w:rsidRDefault="002F3C19" w:rsidP="002F3C19">
      <w:pPr>
        <w:shd w:val="clear" w:color="auto" w:fill="FFFFFF"/>
        <w:spacing w:after="0" w:line="240" w:lineRule="auto"/>
        <w:jc w:val="center"/>
        <w:rPr>
          <w:rFonts w:ascii="Cambria" w:eastAsia="Times New Roman" w:hAnsi="Cambria" w:cs="Calibri"/>
          <w:b/>
        </w:rPr>
      </w:pPr>
    </w:p>
    <w:p w14:paraId="49129F18" w14:textId="77777777" w:rsidR="002F3C19" w:rsidRPr="00B23899" w:rsidRDefault="002F3C19" w:rsidP="002F3C19">
      <w:pPr>
        <w:shd w:val="clear" w:color="auto" w:fill="FFFFFF"/>
        <w:spacing w:after="0" w:line="240" w:lineRule="auto"/>
        <w:jc w:val="center"/>
        <w:rPr>
          <w:rFonts w:ascii="Cambria" w:eastAsia="Times New Roman" w:hAnsi="Cambria" w:cs="Calibri"/>
          <w:b/>
        </w:rPr>
      </w:pPr>
      <w:r w:rsidRPr="00B23899">
        <w:rPr>
          <w:rFonts w:ascii="Cambria" w:eastAsia="Times New Roman" w:hAnsi="Cambria" w:cs="Calibri"/>
          <w:b/>
        </w:rPr>
        <w:t>John Anderson</w:t>
      </w:r>
    </w:p>
    <w:p w14:paraId="6A6E424B" w14:textId="77777777" w:rsidR="002F3C19" w:rsidRPr="00B23899" w:rsidRDefault="002F3C19" w:rsidP="002F3C19">
      <w:pPr>
        <w:shd w:val="clear" w:color="auto" w:fill="FFFFFF"/>
        <w:spacing w:after="0" w:line="240" w:lineRule="auto"/>
        <w:jc w:val="center"/>
        <w:rPr>
          <w:rFonts w:ascii="Cambria" w:eastAsia="Times New Roman" w:hAnsi="Cambria" w:cs="Calibri"/>
          <w:b/>
        </w:rPr>
      </w:pPr>
      <w:r w:rsidRPr="00B23899">
        <w:rPr>
          <w:rFonts w:ascii="Cambria" w:eastAsia="Times New Roman" w:hAnsi="Cambria" w:cs="Calibri"/>
          <w:b/>
        </w:rPr>
        <w:t xml:space="preserve">Department of Agricultural Economics and Agribusiness </w:t>
      </w:r>
    </w:p>
    <w:p w14:paraId="22F22AA3" w14:textId="77777777" w:rsidR="002F3C19" w:rsidRPr="00B23899" w:rsidRDefault="002F3C19" w:rsidP="002F3C19">
      <w:pPr>
        <w:shd w:val="clear" w:color="auto" w:fill="FFFFFF"/>
        <w:spacing w:after="0" w:line="240" w:lineRule="auto"/>
        <w:jc w:val="center"/>
        <w:rPr>
          <w:rFonts w:ascii="Cambria" w:eastAsia="Times New Roman" w:hAnsi="Cambria" w:cs="Calibri"/>
          <w:b/>
        </w:rPr>
      </w:pPr>
    </w:p>
    <w:p w14:paraId="3F5A7E90" w14:textId="77777777" w:rsidR="002F3C19" w:rsidRPr="00B23899" w:rsidRDefault="002F3C19" w:rsidP="002F3C19">
      <w:pPr>
        <w:shd w:val="clear" w:color="auto" w:fill="FFFFFF"/>
        <w:spacing w:after="0" w:line="240" w:lineRule="auto"/>
        <w:jc w:val="center"/>
        <w:rPr>
          <w:rFonts w:ascii="Cambria" w:eastAsia="Times New Roman" w:hAnsi="Cambria" w:cs="Calibri"/>
          <w:b/>
        </w:rPr>
      </w:pPr>
    </w:p>
    <w:p w14:paraId="0DB641DE" w14:textId="77777777" w:rsidR="002F3C19" w:rsidRPr="00B23899" w:rsidRDefault="002F3C19" w:rsidP="002F3C19">
      <w:pPr>
        <w:shd w:val="clear" w:color="auto" w:fill="FFFFFF"/>
        <w:spacing w:after="0" w:line="240" w:lineRule="auto"/>
        <w:jc w:val="center"/>
        <w:rPr>
          <w:rFonts w:ascii="Cambria" w:eastAsia="Times New Roman" w:hAnsi="Cambria" w:cs="Calibri"/>
          <w:b/>
        </w:rPr>
      </w:pPr>
    </w:p>
    <w:p w14:paraId="2409962D" w14:textId="77777777" w:rsidR="002F3C19" w:rsidRPr="00B23899" w:rsidRDefault="00E66924" w:rsidP="002F3C19">
      <w:pPr>
        <w:shd w:val="clear" w:color="auto" w:fill="FFFFFF"/>
        <w:spacing w:after="0" w:line="240" w:lineRule="auto"/>
        <w:jc w:val="center"/>
        <w:rPr>
          <w:rFonts w:ascii="Cambria" w:eastAsia="Times New Roman" w:hAnsi="Cambria" w:cs="Calibri"/>
          <w:b/>
        </w:rPr>
      </w:pPr>
      <w:r w:rsidRPr="00B23899">
        <w:rPr>
          <w:rFonts w:ascii="Cambria" w:eastAsia="Times New Roman" w:hAnsi="Cambria" w:cs="Calibri"/>
          <w:b/>
        </w:rPr>
        <w:t>December 7</w:t>
      </w:r>
      <w:r w:rsidR="002F3C19" w:rsidRPr="00B23899">
        <w:rPr>
          <w:rFonts w:ascii="Cambria" w:eastAsia="Times New Roman" w:hAnsi="Cambria" w:cs="Calibri"/>
          <w:b/>
        </w:rPr>
        <w:t>, 2020</w:t>
      </w:r>
    </w:p>
    <w:p w14:paraId="1ED2FC7D" w14:textId="77777777" w:rsidR="002F3C19" w:rsidRPr="00B23899" w:rsidRDefault="002F3C19" w:rsidP="002F3C19">
      <w:pPr>
        <w:shd w:val="clear" w:color="auto" w:fill="FFFFFF"/>
        <w:spacing w:after="0" w:line="240" w:lineRule="auto"/>
        <w:jc w:val="center"/>
        <w:rPr>
          <w:rFonts w:ascii="Cambria" w:eastAsia="Times New Roman" w:hAnsi="Cambria" w:cs="Calibri"/>
          <w:b/>
        </w:rPr>
      </w:pPr>
    </w:p>
    <w:p w14:paraId="1F2D0D78" w14:textId="3E19E67E" w:rsidR="005871CD" w:rsidRPr="00B23899" w:rsidRDefault="002F3C19" w:rsidP="009F02F5">
      <w:pPr>
        <w:rPr>
          <w:rFonts w:ascii="Cambria" w:hAnsi="Cambria" w:cs="Calibri"/>
        </w:rPr>
      </w:pPr>
      <w:r w:rsidRPr="00B23899">
        <w:rPr>
          <w:rFonts w:ascii="Cambria" w:hAnsi="Cambria" w:cs="Calibri"/>
        </w:rPr>
        <w:br w:type="page"/>
      </w:r>
      <w:r w:rsidR="009F02F5" w:rsidRPr="00B23899">
        <w:rPr>
          <w:rFonts w:ascii="Cambria" w:hAnsi="Cambria" w:cs="Calibri"/>
        </w:rPr>
        <w:lastRenderedPageBreak/>
        <w:t xml:space="preserve">On </w:t>
      </w:r>
      <w:r w:rsidR="0010790D" w:rsidRPr="00B23899">
        <w:rPr>
          <w:rFonts w:ascii="Cambria" w:hAnsi="Cambria" w:cs="Calibri"/>
        </w:rPr>
        <w:t>December 4</w:t>
      </w:r>
      <w:r w:rsidR="009F02F5" w:rsidRPr="00B23899">
        <w:rPr>
          <w:rFonts w:ascii="Cambria" w:hAnsi="Cambria" w:cs="Calibri"/>
        </w:rPr>
        <w:t xml:space="preserve">, the U.S. Bureau of Labor Statistics released the latest monthly </w:t>
      </w:r>
      <w:r w:rsidR="009F02F5" w:rsidRPr="00B23899">
        <w:rPr>
          <w:rFonts w:ascii="Cambria" w:hAnsi="Cambria" w:cs="Calibri"/>
          <w:i/>
        </w:rPr>
        <w:t>Employment Situation</w:t>
      </w:r>
      <w:r w:rsidR="009F02F5" w:rsidRPr="00B23899">
        <w:rPr>
          <w:rFonts w:ascii="Cambria" w:hAnsi="Cambria" w:cs="Calibri"/>
        </w:rPr>
        <w:t xml:space="preserve"> </w:t>
      </w:r>
      <w:r w:rsidR="0010790D" w:rsidRPr="00B23899">
        <w:rPr>
          <w:rFonts w:ascii="Cambria" w:hAnsi="Cambria" w:cs="Calibri"/>
        </w:rPr>
        <w:t>report</w:t>
      </w:r>
      <w:r w:rsidR="009F02F5" w:rsidRPr="00B23899">
        <w:rPr>
          <w:rFonts w:ascii="Cambria" w:hAnsi="Cambria" w:cs="Calibri"/>
        </w:rPr>
        <w:t xml:space="preserve">, covering employment figures for the month of </w:t>
      </w:r>
      <w:r w:rsidR="0010790D" w:rsidRPr="00B23899">
        <w:rPr>
          <w:rFonts w:ascii="Cambria" w:hAnsi="Cambria" w:cs="Calibri"/>
        </w:rPr>
        <w:t>November</w:t>
      </w:r>
      <w:r w:rsidR="009F02F5" w:rsidRPr="00B23899">
        <w:rPr>
          <w:rFonts w:ascii="Cambria" w:hAnsi="Cambria" w:cs="Calibri"/>
        </w:rPr>
        <w:t xml:space="preserve">. </w:t>
      </w:r>
      <w:r w:rsidR="0010790D" w:rsidRPr="00B23899">
        <w:rPr>
          <w:rFonts w:ascii="Cambria" w:hAnsi="Cambria" w:cs="Calibri"/>
        </w:rPr>
        <w:t>Reports since May have shown employment increasing following the massive pandemic-related layoffs in March and April</w:t>
      </w:r>
      <w:r w:rsidR="009F02F5" w:rsidRPr="00B23899">
        <w:rPr>
          <w:rFonts w:ascii="Cambria" w:hAnsi="Cambria" w:cs="Calibri"/>
        </w:rPr>
        <w:t>.</w:t>
      </w:r>
      <w:r w:rsidR="0010790D" w:rsidRPr="00B23899">
        <w:rPr>
          <w:rFonts w:ascii="Cambria" w:hAnsi="Cambria" w:cs="Calibri"/>
        </w:rPr>
        <w:t xml:space="preserve">  The pace of job gains has steadily decreased, however.  That trend continued in the most recent report, with non-farm payrolls growing in November, but only by a net of 245,000 new jobs.  This compares to non-farm payroll growth in October of 610,000 new jobs.  </w:t>
      </w:r>
      <w:r w:rsidR="00244041" w:rsidRPr="00B23899">
        <w:rPr>
          <w:rFonts w:ascii="Cambria" w:hAnsi="Cambria" w:cs="Calibri"/>
        </w:rPr>
        <w:t xml:space="preserve">Cumulative growth in payrolls for May through November amounts to 12.3 million jobs, against 22.2 million jobs lost in March and April.  </w:t>
      </w:r>
      <w:r w:rsidR="0010790D" w:rsidRPr="00B23899">
        <w:rPr>
          <w:rFonts w:ascii="Cambria" w:hAnsi="Cambria" w:cs="Calibri"/>
        </w:rPr>
        <w:t xml:space="preserve">Figure 1 shows the monthly change in total non-farm payroll employment.   </w:t>
      </w:r>
    </w:p>
    <w:p w14:paraId="1E6A8811" w14:textId="77777777" w:rsidR="009F02F5" w:rsidRPr="00B23899" w:rsidRDefault="009F02F5" w:rsidP="009F02F5">
      <w:pPr>
        <w:rPr>
          <w:rFonts w:ascii="Cambria" w:hAnsi="Cambria" w:cs="Calibri"/>
        </w:rPr>
      </w:pPr>
      <w:r w:rsidRPr="00B23899">
        <w:rPr>
          <w:rFonts w:ascii="Cambria" w:hAnsi="Cambria" w:cs="Calibri"/>
        </w:rPr>
        <w:t xml:space="preserve"> </w:t>
      </w:r>
      <w:r w:rsidR="0010790D" w:rsidRPr="00B23899">
        <w:rPr>
          <w:rFonts w:ascii="Cambria" w:hAnsi="Cambria" w:cs="Calibri"/>
          <w:noProof/>
        </w:rPr>
        <w:drawing>
          <wp:inline distT="0" distB="0" distL="0" distR="0" wp14:anchorId="1229766E" wp14:editId="5BB10DF6">
            <wp:extent cx="5734050" cy="3086100"/>
            <wp:effectExtent l="0" t="0" r="0" b="0"/>
            <wp:docPr id="1" name="Chart 1">
              <a:extLst xmlns:a="http://schemas.openxmlformats.org/drawingml/2006/main">
                <a:ext uri="{FF2B5EF4-FFF2-40B4-BE49-F238E27FC236}">
                  <a16:creationId xmlns:a16="http://schemas.microsoft.com/office/drawing/2014/main" id="{923E664B-1855-461A-B59B-5A71AA2B36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B23899">
        <w:rPr>
          <w:rFonts w:ascii="Cambria" w:hAnsi="Cambria" w:cs="Calibri"/>
        </w:rPr>
        <w:t xml:space="preserve"> </w:t>
      </w:r>
    </w:p>
    <w:p w14:paraId="77F2B4FC" w14:textId="77777777" w:rsidR="009F02F5" w:rsidRPr="00B23899" w:rsidRDefault="009F02F5" w:rsidP="009F02F5">
      <w:pPr>
        <w:rPr>
          <w:rFonts w:ascii="Cambria" w:hAnsi="Cambria" w:cs="Calibri"/>
        </w:rPr>
      </w:pPr>
    </w:p>
    <w:p w14:paraId="35162C52" w14:textId="77777777" w:rsidR="009F02F5" w:rsidRPr="00B23899" w:rsidRDefault="00AD3E25" w:rsidP="009F02F5">
      <w:pPr>
        <w:rPr>
          <w:rFonts w:ascii="Cambria" w:hAnsi="Cambria" w:cs="Calibri"/>
          <w:sz w:val="18"/>
          <w:szCs w:val="18"/>
        </w:rPr>
      </w:pPr>
      <w:r w:rsidRPr="00B23899">
        <w:rPr>
          <w:rFonts w:ascii="Cambria" w:hAnsi="Cambria" w:cs="Calibri"/>
          <w:sz w:val="18"/>
          <w:szCs w:val="18"/>
        </w:rPr>
        <w:t>Data Source: USDA Bureau of Labor Statistics through St. Louis Federal Reserve Bank, FRED Database</w:t>
      </w:r>
    </w:p>
    <w:p w14:paraId="2EAF1A89" w14:textId="77777777" w:rsidR="00AD3E25" w:rsidRPr="00B23899" w:rsidRDefault="00AD3E25" w:rsidP="009F02F5">
      <w:pPr>
        <w:rPr>
          <w:rFonts w:ascii="Cambria" w:hAnsi="Cambria" w:cs="Calibri"/>
        </w:rPr>
      </w:pPr>
      <w:r w:rsidRPr="00B23899">
        <w:rPr>
          <w:rFonts w:ascii="Cambria" w:hAnsi="Cambria" w:cs="Calibri"/>
          <w:b/>
        </w:rPr>
        <w:t>Figure 1.</w:t>
      </w:r>
      <w:r w:rsidRPr="00B23899">
        <w:rPr>
          <w:rFonts w:ascii="Cambria" w:hAnsi="Cambria" w:cs="Calibri"/>
        </w:rPr>
        <w:t xml:space="preserve">  Monthly Change in Employment: Total Non-Farm Payroll</w:t>
      </w:r>
      <w:r w:rsidR="00244041" w:rsidRPr="00B23899">
        <w:rPr>
          <w:rFonts w:ascii="Cambria" w:hAnsi="Cambria" w:cs="Calibri"/>
        </w:rPr>
        <w:t>, Seasonally Adjusted</w:t>
      </w:r>
    </w:p>
    <w:p w14:paraId="0E99BDF5" w14:textId="77777777" w:rsidR="00293A06" w:rsidRPr="00B23899" w:rsidRDefault="00244041" w:rsidP="009F02F5">
      <w:pPr>
        <w:rPr>
          <w:rFonts w:ascii="Cambria" w:hAnsi="Cambria" w:cs="Calibri"/>
        </w:rPr>
      </w:pPr>
      <w:r w:rsidRPr="00B23899">
        <w:rPr>
          <w:rFonts w:ascii="Cambria" w:hAnsi="Cambria" w:cs="Calibri"/>
        </w:rPr>
        <w:t xml:space="preserve">The report fell well short of expectations, with most pre-report analysts looking for job growth in excess of 400,000 new jobs for November.  The unemployment rate did continue to edge lower in November, dropping to 6.7%, a decline of two-tenths of a percentage point from the prior month.  This was about in line with market expectations, despite the disappointing job growth.  The reason </w:t>
      </w:r>
      <w:r w:rsidR="00016281" w:rsidRPr="00B23899">
        <w:rPr>
          <w:rFonts w:ascii="Cambria" w:hAnsi="Cambria" w:cs="Calibri"/>
        </w:rPr>
        <w:t>the drop in the unemployment rate met expectations when job growth didn’t</w:t>
      </w:r>
      <w:r w:rsidRPr="00B23899">
        <w:rPr>
          <w:rFonts w:ascii="Cambria" w:hAnsi="Cambria" w:cs="Calibri"/>
        </w:rPr>
        <w:t xml:space="preserve"> is that the labor force participation rate also dipped a bit in November.  The </w:t>
      </w:r>
      <w:r w:rsidR="00DE35EF" w:rsidRPr="00B23899">
        <w:rPr>
          <w:rFonts w:ascii="Cambria" w:hAnsi="Cambria" w:cs="Calibri"/>
        </w:rPr>
        <w:t xml:space="preserve">official </w:t>
      </w:r>
      <w:r w:rsidRPr="00B23899">
        <w:rPr>
          <w:rFonts w:ascii="Cambria" w:hAnsi="Cambria" w:cs="Calibri"/>
        </w:rPr>
        <w:t>unemployment rate</w:t>
      </w:r>
      <w:r w:rsidR="00DE35EF" w:rsidRPr="00B23899">
        <w:rPr>
          <w:rFonts w:ascii="Cambria" w:hAnsi="Cambria" w:cs="Calibri"/>
        </w:rPr>
        <w:t xml:space="preserve"> – known as U-3 in BLS parlance – is </w:t>
      </w:r>
      <w:r w:rsidRPr="00B23899">
        <w:rPr>
          <w:rFonts w:ascii="Cambria" w:hAnsi="Cambria" w:cs="Calibri"/>
        </w:rPr>
        <w:t>calculated on the basis of active labor force members who are not working</w:t>
      </w:r>
      <w:r w:rsidR="00DE35EF" w:rsidRPr="00B23899">
        <w:rPr>
          <w:rFonts w:ascii="Cambria" w:hAnsi="Cambria" w:cs="Calibri"/>
        </w:rPr>
        <w:t>: t</w:t>
      </w:r>
      <w:r w:rsidRPr="00B23899">
        <w:rPr>
          <w:rFonts w:ascii="Cambria" w:hAnsi="Cambria" w:cs="Calibri"/>
        </w:rPr>
        <w:t xml:space="preserve">hat is, those who </w:t>
      </w:r>
      <w:r w:rsidR="00DE35EF" w:rsidRPr="00B23899">
        <w:rPr>
          <w:rFonts w:ascii="Cambria" w:hAnsi="Cambria" w:cs="Calibri"/>
        </w:rPr>
        <w:t>are actively looking for work but not finding it</w:t>
      </w:r>
      <w:r w:rsidRPr="00B23899">
        <w:rPr>
          <w:rFonts w:ascii="Cambria" w:hAnsi="Cambria" w:cs="Calibri"/>
        </w:rPr>
        <w:t xml:space="preserve">.  A drop in the </w:t>
      </w:r>
      <w:r w:rsidR="00016281" w:rsidRPr="00B23899">
        <w:rPr>
          <w:rFonts w:ascii="Cambria" w:hAnsi="Cambria" w:cs="Calibri"/>
        </w:rPr>
        <w:t xml:space="preserve">number of people actively looking for work results in a drop in the </w:t>
      </w:r>
      <w:r w:rsidRPr="00B23899">
        <w:rPr>
          <w:rFonts w:ascii="Cambria" w:hAnsi="Cambria" w:cs="Calibri"/>
        </w:rPr>
        <w:t xml:space="preserve">labor force participation rate </w:t>
      </w:r>
      <w:r w:rsidR="00016281" w:rsidRPr="00B23899">
        <w:rPr>
          <w:rFonts w:ascii="Cambria" w:hAnsi="Cambria" w:cs="Calibri"/>
        </w:rPr>
        <w:t xml:space="preserve">and </w:t>
      </w:r>
      <w:r w:rsidRPr="00B23899">
        <w:rPr>
          <w:rFonts w:ascii="Cambria" w:hAnsi="Cambria" w:cs="Calibri"/>
        </w:rPr>
        <w:t>(all else equal, as economists like to say) results in a lower unemployment rate.</w:t>
      </w:r>
      <w:r w:rsidR="00DE35EF" w:rsidRPr="00B23899">
        <w:rPr>
          <w:rFonts w:ascii="Cambria" w:hAnsi="Cambria" w:cs="Calibri"/>
        </w:rPr>
        <w:t xml:space="preserve">  </w:t>
      </w:r>
    </w:p>
    <w:p w14:paraId="3B191EB8" w14:textId="77777777" w:rsidR="002B70D0" w:rsidRPr="00B23899" w:rsidRDefault="00DE35EF" w:rsidP="009F02F5">
      <w:pPr>
        <w:rPr>
          <w:rFonts w:ascii="Cambria" w:hAnsi="Cambria" w:cs="Calibri"/>
        </w:rPr>
      </w:pPr>
      <w:r w:rsidRPr="00B23899">
        <w:rPr>
          <w:rFonts w:ascii="Cambria" w:hAnsi="Cambria" w:cs="Calibri"/>
        </w:rPr>
        <w:t xml:space="preserve">BLS also reports more comprehensive assessments of unemployment.  For example, the calculation of the U-6 unemployment rate includes “all persons marginally attached to the labor force, plus total employed part time for economic reasons, as a percent of the civilian labor force plus all persons marginally attached to the labor force.”  Here, “marginally attached” basically means people </w:t>
      </w:r>
      <w:r w:rsidRPr="00B23899">
        <w:rPr>
          <w:rFonts w:ascii="Cambria" w:hAnsi="Cambria" w:cs="Calibri"/>
        </w:rPr>
        <w:lastRenderedPageBreak/>
        <w:t xml:space="preserve">who would prefer to be working but </w:t>
      </w:r>
      <w:r w:rsidR="00240008" w:rsidRPr="00B23899">
        <w:rPr>
          <w:rFonts w:ascii="Cambria" w:hAnsi="Cambria" w:cs="Calibri"/>
        </w:rPr>
        <w:t xml:space="preserve">are not actively looking for a job – sometimes referred to as discouraged workers.  </w:t>
      </w:r>
      <w:r w:rsidR="00C07A0A" w:rsidRPr="00B23899">
        <w:rPr>
          <w:rFonts w:ascii="Cambria" w:hAnsi="Cambria" w:cs="Calibri"/>
        </w:rPr>
        <w:t>In November, U-6 ticked down by one-tenth of a percentage point</w:t>
      </w:r>
      <w:r w:rsidR="002B70D0" w:rsidRPr="00B23899">
        <w:rPr>
          <w:rFonts w:ascii="Cambria" w:hAnsi="Cambria" w:cs="Calibri"/>
        </w:rPr>
        <w:t xml:space="preserve"> based on November’s modest job gains, hitting 12.0%.  For comparison, U-6 topped out in April at 22.8%.  In general, during and subsequent to pandemic-related shutdowns, U-6 has responded more-or-less proportionally to the official U-3 unemployment rate.  This suggests that workers have not generally become discouraged to the point of dropping out of the workforce in large numbers.  </w:t>
      </w:r>
      <w:r w:rsidR="00293A06" w:rsidRPr="00B23899">
        <w:rPr>
          <w:rFonts w:ascii="Cambria" w:hAnsi="Cambria" w:cs="Calibri"/>
        </w:rPr>
        <w:t>The relatively small change i</w:t>
      </w:r>
      <w:r w:rsidR="00016281" w:rsidRPr="00B23899">
        <w:rPr>
          <w:rFonts w:ascii="Cambria" w:hAnsi="Cambria" w:cs="Calibri"/>
        </w:rPr>
        <w:t>n</w:t>
      </w:r>
      <w:r w:rsidR="00293A06" w:rsidRPr="00B23899">
        <w:rPr>
          <w:rFonts w:ascii="Cambria" w:hAnsi="Cambria" w:cs="Calibri"/>
        </w:rPr>
        <w:t xml:space="preserve"> workforce participation in November does not reverse that trend, but it is an issue that will bear watching in coming months. </w:t>
      </w:r>
    </w:p>
    <w:p w14:paraId="4DBC53F5" w14:textId="77777777" w:rsidR="00480448" w:rsidRPr="00B23899" w:rsidRDefault="00293A06" w:rsidP="009F02F5">
      <w:pPr>
        <w:rPr>
          <w:rFonts w:ascii="Cambria" w:hAnsi="Cambria" w:cs="Calibri"/>
        </w:rPr>
      </w:pPr>
      <w:r w:rsidRPr="00B23899">
        <w:rPr>
          <w:rFonts w:ascii="Cambria" w:hAnsi="Cambria" w:cs="Calibri"/>
        </w:rPr>
        <w:t>In terms of employment categories, private employment increased in November by 344,000 jobs.  This was partially offset by a decline of 99,000 government jobs.  Private sector gains in employment were relatively widespread, but there was one particularly notable exception.  The retail trade sector posted a decline of 34,700</w:t>
      </w:r>
      <w:r w:rsidR="00016281" w:rsidRPr="00B23899">
        <w:rPr>
          <w:rFonts w:ascii="Cambria" w:hAnsi="Cambria" w:cs="Calibri"/>
        </w:rPr>
        <w:t xml:space="preserve"> jobs</w:t>
      </w:r>
      <w:r w:rsidRPr="00B23899">
        <w:rPr>
          <w:rFonts w:ascii="Cambria" w:hAnsi="Cambria" w:cs="Calibri"/>
        </w:rPr>
        <w:t xml:space="preserve"> in November.  </w:t>
      </w:r>
    </w:p>
    <w:p w14:paraId="4CEDB30C" w14:textId="77777777" w:rsidR="00293A06" w:rsidRPr="00B23899" w:rsidRDefault="00293A06" w:rsidP="009F02F5">
      <w:pPr>
        <w:rPr>
          <w:rFonts w:ascii="Cambria" w:hAnsi="Cambria" w:cs="Calibri"/>
        </w:rPr>
      </w:pPr>
      <w:r w:rsidRPr="00B23899">
        <w:rPr>
          <w:rFonts w:ascii="Cambria" w:hAnsi="Cambria" w:cs="Calibri"/>
        </w:rPr>
        <w:t>Keep in mind that these data are seasonally-adjusted and so reflect deviations from normal seasonal expectations.  Normally, November would witness a significant surge in retail sector jobs as that sector staff</w:t>
      </w:r>
      <w:r w:rsidR="00016281" w:rsidRPr="00B23899">
        <w:rPr>
          <w:rFonts w:ascii="Cambria" w:hAnsi="Cambria" w:cs="Calibri"/>
        </w:rPr>
        <w:t>s</w:t>
      </w:r>
      <w:r w:rsidRPr="00B23899">
        <w:rPr>
          <w:rFonts w:ascii="Cambria" w:hAnsi="Cambria" w:cs="Calibri"/>
        </w:rPr>
        <w:t xml:space="preserve"> up for the Christmas season.  This month’s data suggest that retailers are not staffing up at the normal rate.  Whether this means they are anticipating a disappointing sales season or just less in-person traffic is not clear.  It is perhaps telling, though, that the transportation and warehousing sector added </w:t>
      </w:r>
      <w:r w:rsidR="00E8763F" w:rsidRPr="00B23899">
        <w:rPr>
          <w:rFonts w:ascii="Cambria" w:hAnsi="Cambria" w:cs="Calibri"/>
        </w:rPr>
        <w:t xml:space="preserve">145,000 jobs in November, over twice the rate of hiring from the prior month and by far the largest November gain in that </w:t>
      </w:r>
      <w:r w:rsidR="00016281" w:rsidRPr="00B23899">
        <w:rPr>
          <w:rFonts w:ascii="Cambria" w:hAnsi="Cambria" w:cs="Calibri"/>
        </w:rPr>
        <w:t>sector</w:t>
      </w:r>
      <w:r w:rsidR="00E8763F" w:rsidRPr="00B23899">
        <w:rPr>
          <w:rFonts w:ascii="Cambria" w:hAnsi="Cambria" w:cs="Calibri"/>
        </w:rPr>
        <w:t xml:space="preserve"> going back to the beginning </w:t>
      </w:r>
      <w:r w:rsidR="00480448" w:rsidRPr="00B23899">
        <w:rPr>
          <w:rFonts w:ascii="Cambria" w:hAnsi="Cambria" w:cs="Calibri"/>
        </w:rPr>
        <w:t>of</w:t>
      </w:r>
      <w:r w:rsidR="00E8763F" w:rsidRPr="00B23899">
        <w:rPr>
          <w:rFonts w:ascii="Cambria" w:hAnsi="Cambria" w:cs="Calibri"/>
        </w:rPr>
        <w:t xml:space="preserve"> that data set in 1972.   </w:t>
      </w:r>
      <w:r w:rsidR="00480448" w:rsidRPr="00B23899">
        <w:rPr>
          <w:rFonts w:ascii="Cambria" w:hAnsi="Cambria" w:cs="Calibri"/>
        </w:rPr>
        <w:t>This underscores the significant change in consumer shopping patterns that have resulted from the pandemic and suggests that these changes will carry though the Christmas shopping season</w:t>
      </w:r>
      <w:r w:rsidR="00016281" w:rsidRPr="00B23899">
        <w:rPr>
          <w:rFonts w:ascii="Cambria" w:hAnsi="Cambria" w:cs="Calibri"/>
        </w:rPr>
        <w:t xml:space="preserve"> – and, most likely, well beyond</w:t>
      </w:r>
      <w:r w:rsidR="00480448" w:rsidRPr="00B23899">
        <w:rPr>
          <w:rFonts w:ascii="Cambria" w:hAnsi="Cambria" w:cs="Calibri"/>
        </w:rPr>
        <w:t xml:space="preserve">.    </w:t>
      </w:r>
    </w:p>
    <w:p w14:paraId="55FAB36B" w14:textId="77777777" w:rsidR="008335C6" w:rsidRPr="00B23899" w:rsidRDefault="002B70D0" w:rsidP="009F02F5">
      <w:pPr>
        <w:rPr>
          <w:rFonts w:ascii="Cambria" w:hAnsi="Cambria" w:cs="Calibri"/>
        </w:rPr>
      </w:pPr>
      <w:r w:rsidRPr="00B23899">
        <w:rPr>
          <w:rFonts w:ascii="Cambria" w:hAnsi="Cambria" w:cs="Calibri"/>
        </w:rPr>
        <w:t xml:space="preserve">  </w:t>
      </w:r>
    </w:p>
    <w:p w14:paraId="0DC1E478" w14:textId="77777777" w:rsidR="00244041" w:rsidRPr="00B23899" w:rsidRDefault="00244041" w:rsidP="009F02F5">
      <w:pPr>
        <w:rPr>
          <w:rFonts w:ascii="Cambria" w:hAnsi="Cambria" w:cs="Calibri"/>
        </w:rPr>
      </w:pPr>
    </w:p>
    <w:p w14:paraId="626685D7" w14:textId="6FC33EE5" w:rsidR="00AD3E25" w:rsidRDefault="00AD3E25" w:rsidP="009F02F5">
      <w:pPr>
        <w:rPr>
          <w:rFonts w:ascii="Cambria" w:hAnsi="Cambria" w:cs="Calibri"/>
        </w:rPr>
      </w:pPr>
      <w:r w:rsidRPr="00B23899">
        <w:rPr>
          <w:rFonts w:ascii="Cambria" w:hAnsi="Cambria" w:cs="Calibri"/>
        </w:rPr>
        <w:t xml:space="preserve"> </w:t>
      </w:r>
    </w:p>
    <w:p w14:paraId="3050D36C" w14:textId="27CBB65F" w:rsidR="00311F5A" w:rsidRDefault="00311F5A" w:rsidP="009F02F5">
      <w:pPr>
        <w:rPr>
          <w:rFonts w:ascii="Cambria" w:hAnsi="Cambria" w:cs="Calibri"/>
        </w:rPr>
      </w:pPr>
    </w:p>
    <w:p w14:paraId="4D200FB6" w14:textId="6207919B" w:rsidR="00311F5A" w:rsidRPr="00311F5A" w:rsidRDefault="00311F5A" w:rsidP="009F02F5">
      <w:pPr>
        <w:rPr>
          <w:rFonts w:ascii="Cambria" w:hAnsi="Cambria" w:cs="Calibri"/>
          <w:color w:val="808080" w:themeColor="background1" w:themeShade="80"/>
        </w:rPr>
      </w:pPr>
    </w:p>
    <w:p w14:paraId="1EF3E117" w14:textId="77777777" w:rsidR="00311F5A" w:rsidRPr="00311F5A" w:rsidRDefault="00311F5A" w:rsidP="00311F5A">
      <w:pPr>
        <w:rPr>
          <w:rFonts w:ascii="Cambria" w:hAnsi="Cambria" w:cs="Calibri"/>
          <w:color w:val="808080" w:themeColor="background1" w:themeShade="80"/>
        </w:rPr>
      </w:pPr>
      <w:r w:rsidRPr="00311F5A">
        <w:rPr>
          <w:rFonts w:ascii="Cambria" w:hAnsi="Cambria" w:cs="Calibri"/>
          <w:b/>
          <w:bCs/>
          <w:color w:val="808080" w:themeColor="background1" w:themeShade="80"/>
        </w:rPr>
        <w:t>About the Division of Agriculture</w:t>
      </w:r>
    </w:p>
    <w:p w14:paraId="0D0EFDBC" w14:textId="77777777" w:rsidR="00311F5A" w:rsidRPr="00311F5A" w:rsidRDefault="00311F5A" w:rsidP="00311F5A">
      <w:pPr>
        <w:rPr>
          <w:rFonts w:ascii="Cambria" w:hAnsi="Cambria" w:cs="Calibri"/>
          <w:color w:val="808080" w:themeColor="background1" w:themeShade="80"/>
        </w:rPr>
      </w:pPr>
      <w:r w:rsidRPr="00311F5A">
        <w:rPr>
          <w:rFonts w:ascii="Cambria" w:hAnsi="Cambria" w:cs="Calibri"/>
          <w:color w:val="808080" w:themeColor="background1" w:themeShade="80"/>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EA565DD" w14:textId="76452E74" w:rsidR="00311F5A" w:rsidRPr="00311F5A" w:rsidRDefault="00311F5A" w:rsidP="00311F5A">
      <w:pPr>
        <w:rPr>
          <w:rFonts w:ascii="Cambria" w:hAnsi="Cambria" w:cs="Calibri"/>
          <w:color w:val="808080" w:themeColor="background1" w:themeShade="80"/>
        </w:rPr>
      </w:pPr>
      <w:r w:rsidRPr="00311F5A">
        <w:rPr>
          <w:rFonts w:ascii="Cambria" w:hAnsi="Cambria" w:cs="Calibri"/>
          <w:color w:val="808080" w:themeColor="background1" w:themeShade="80"/>
        </w:rPr>
        <w:t> The Division of Agriculture is one of 20 entities within the University of Arkansas System. It has offices in all 75 counties in Arkansas and faculty on five system campuses.</w:t>
      </w:r>
    </w:p>
    <w:p w14:paraId="5769D501" w14:textId="57140B88" w:rsidR="00311F5A" w:rsidRPr="00311F5A" w:rsidRDefault="00311F5A" w:rsidP="009F02F5">
      <w:pPr>
        <w:rPr>
          <w:rFonts w:ascii="Cambria" w:hAnsi="Cambria" w:cs="Calibri"/>
          <w:color w:val="808080" w:themeColor="background1" w:themeShade="80"/>
        </w:rPr>
      </w:pPr>
      <w:r w:rsidRPr="00311F5A">
        <w:rPr>
          <w:rFonts w:ascii="Cambria" w:hAnsi="Cambria" w:cs="Calibri"/>
          <w:color w:val="808080" w:themeColor="background1" w:themeShade="80"/>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sectPr w:rsidR="00311F5A" w:rsidRPr="0031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762C9"/>
    <w:multiLevelType w:val="hybridMultilevel"/>
    <w:tmpl w:val="61300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02890"/>
    <w:multiLevelType w:val="hybridMultilevel"/>
    <w:tmpl w:val="250A4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16281"/>
    <w:rsid w:val="000C0A91"/>
    <w:rsid w:val="000F26EF"/>
    <w:rsid w:val="000F7E8E"/>
    <w:rsid w:val="0010790D"/>
    <w:rsid w:val="0016274A"/>
    <w:rsid w:val="00165B26"/>
    <w:rsid w:val="00187436"/>
    <w:rsid w:val="001B0892"/>
    <w:rsid w:val="001D71B7"/>
    <w:rsid w:val="001D7BE1"/>
    <w:rsid w:val="00240008"/>
    <w:rsid w:val="00244041"/>
    <w:rsid w:val="00253CD0"/>
    <w:rsid w:val="00275746"/>
    <w:rsid w:val="0027667F"/>
    <w:rsid w:val="00280B58"/>
    <w:rsid w:val="0028267D"/>
    <w:rsid w:val="00293A06"/>
    <w:rsid w:val="002B70D0"/>
    <w:rsid w:val="002F3C19"/>
    <w:rsid w:val="002F57A8"/>
    <w:rsid w:val="00307E8B"/>
    <w:rsid w:val="00311F5A"/>
    <w:rsid w:val="00322E79"/>
    <w:rsid w:val="00323F35"/>
    <w:rsid w:val="00333AF4"/>
    <w:rsid w:val="00333BAE"/>
    <w:rsid w:val="00362BA5"/>
    <w:rsid w:val="003A0A09"/>
    <w:rsid w:val="003C7676"/>
    <w:rsid w:val="00480448"/>
    <w:rsid w:val="00481294"/>
    <w:rsid w:val="00486133"/>
    <w:rsid w:val="004A3E20"/>
    <w:rsid w:val="004B57FA"/>
    <w:rsid w:val="004B5A32"/>
    <w:rsid w:val="004C721C"/>
    <w:rsid w:val="004E5BA7"/>
    <w:rsid w:val="0051289D"/>
    <w:rsid w:val="00536775"/>
    <w:rsid w:val="0054692A"/>
    <w:rsid w:val="005871CD"/>
    <w:rsid w:val="005A3638"/>
    <w:rsid w:val="005B0E04"/>
    <w:rsid w:val="005D17DA"/>
    <w:rsid w:val="00612661"/>
    <w:rsid w:val="00671A66"/>
    <w:rsid w:val="00673DA9"/>
    <w:rsid w:val="006B4454"/>
    <w:rsid w:val="006D7F3A"/>
    <w:rsid w:val="00777F8D"/>
    <w:rsid w:val="007D1E45"/>
    <w:rsid w:val="00802549"/>
    <w:rsid w:val="008335C6"/>
    <w:rsid w:val="00865D82"/>
    <w:rsid w:val="008A0499"/>
    <w:rsid w:val="008A19BD"/>
    <w:rsid w:val="008A6467"/>
    <w:rsid w:val="009539D3"/>
    <w:rsid w:val="009A1BA5"/>
    <w:rsid w:val="009D0CB6"/>
    <w:rsid w:val="009F02F5"/>
    <w:rsid w:val="00A127C9"/>
    <w:rsid w:val="00A17B9A"/>
    <w:rsid w:val="00A5247D"/>
    <w:rsid w:val="00AA597D"/>
    <w:rsid w:val="00AD0836"/>
    <w:rsid w:val="00AD3E25"/>
    <w:rsid w:val="00B153C2"/>
    <w:rsid w:val="00B23899"/>
    <w:rsid w:val="00B44DE0"/>
    <w:rsid w:val="00B65108"/>
    <w:rsid w:val="00BC6295"/>
    <w:rsid w:val="00C07A0A"/>
    <w:rsid w:val="00C71B1A"/>
    <w:rsid w:val="00C8070B"/>
    <w:rsid w:val="00CF65DE"/>
    <w:rsid w:val="00D060FE"/>
    <w:rsid w:val="00D272E6"/>
    <w:rsid w:val="00DE3101"/>
    <w:rsid w:val="00DE35EF"/>
    <w:rsid w:val="00E05DAC"/>
    <w:rsid w:val="00E450BE"/>
    <w:rsid w:val="00E63E73"/>
    <w:rsid w:val="00E66924"/>
    <w:rsid w:val="00E8763F"/>
    <w:rsid w:val="00F101D4"/>
    <w:rsid w:val="00F66CE1"/>
    <w:rsid w:val="00F75582"/>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3AB8"/>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'FRED Graph'!$A$132:$A$262</c:f>
              <c:numCache>
                <c:formatCode>yyyy\-mm\-dd</c:formatCode>
                <c:ptCount val="131"/>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pt idx="121">
                  <c:v>43862</c:v>
                </c:pt>
                <c:pt idx="122">
                  <c:v>43891</c:v>
                </c:pt>
                <c:pt idx="123">
                  <c:v>43922</c:v>
                </c:pt>
                <c:pt idx="124">
                  <c:v>43952</c:v>
                </c:pt>
                <c:pt idx="125">
                  <c:v>43983</c:v>
                </c:pt>
                <c:pt idx="126">
                  <c:v>44013</c:v>
                </c:pt>
                <c:pt idx="127">
                  <c:v>44044</c:v>
                </c:pt>
                <c:pt idx="128">
                  <c:v>44075</c:v>
                </c:pt>
                <c:pt idx="129">
                  <c:v>44105</c:v>
                </c:pt>
                <c:pt idx="130">
                  <c:v>44136</c:v>
                </c:pt>
              </c:numCache>
            </c:numRef>
          </c:cat>
          <c:val>
            <c:numRef>
              <c:f>'FRED Graph'!$B$132:$B$262</c:f>
              <c:numCache>
                <c:formatCode>0</c:formatCode>
                <c:ptCount val="131"/>
                <c:pt idx="0">
                  <c:v>2</c:v>
                </c:pt>
                <c:pt idx="1">
                  <c:v>-92</c:v>
                </c:pt>
                <c:pt idx="2">
                  <c:v>181</c:v>
                </c:pt>
                <c:pt idx="3">
                  <c:v>231</c:v>
                </c:pt>
                <c:pt idx="4">
                  <c:v>540</c:v>
                </c:pt>
                <c:pt idx="5">
                  <c:v>-139</c:v>
                </c:pt>
                <c:pt idx="6">
                  <c:v>-84</c:v>
                </c:pt>
                <c:pt idx="7">
                  <c:v>-5</c:v>
                </c:pt>
                <c:pt idx="8">
                  <c:v>-65</c:v>
                </c:pt>
                <c:pt idx="9">
                  <c:v>268</c:v>
                </c:pt>
                <c:pt idx="10">
                  <c:v>125</c:v>
                </c:pt>
                <c:pt idx="11">
                  <c:v>72</c:v>
                </c:pt>
                <c:pt idx="12">
                  <c:v>19</c:v>
                </c:pt>
                <c:pt idx="13">
                  <c:v>212</c:v>
                </c:pt>
                <c:pt idx="14">
                  <c:v>235</c:v>
                </c:pt>
                <c:pt idx="15">
                  <c:v>314</c:v>
                </c:pt>
                <c:pt idx="16">
                  <c:v>101</c:v>
                </c:pt>
                <c:pt idx="17">
                  <c:v>236</c:v>
                </c:pt>
                <c:pt idx="18">
                  <c:v>60</c:v>
                </c:pt>
                <c:pt idx="19">
                  <c:v>126</c:v>
                </c:pt>
                <c:pt idx="20">
                  <c:v>233</c:v>
                </c:pt>
                <c:pt idx="21">
                  <c:v>204</c:v>
                </c:pt>
                <c:pt idx="22">
                  <c:v>132</c:v>
                </c:pt>
                <c:pt idx="23">
                  <c:v>202</c:v>
                </c:pt>
                <c:pt idx="24">
                  <c:v>354</c:v>
                </c:pt>
                <c:pt idx="25">
                  <c:v>262</c:v>
                </c:pt>
                <c:pt idx="26">
                  <c:v>240</c:v>
                </c:pt>
                <c:pt idx="27">
                  <c:v>82</c:v>
                </c:pt>
                <c:pt idx="28">
                  <c:v>100</c:v>
                </c:pt>
                <c:pt idx="29">
                  <c:v>73</c:v>
                </c:pt>
                <c:pt idx="30">
                  <c:v>152</c:v>
                </c:pt>
                <c:pt idx="31">
                  <c:v>172</c:v>
                </c:pt>
                <c:pt idx="32">
                  <c:v>187</c:v>
                </c:pt>
                <c:pt idx="33">
                  <c:v>159</c:v>
                </c:pt>
                <c:pt idx="34">
                  <c:v>156</c:v>
                </c:pt>
                <c:pt idx="35">
                  <c:v>239</c:v>
                </c:pt>
                <c:pt idx="36">
                  <c:v>191</c:v>
                </c:pt>
                <c:pt idx="37">
                  <c:v>278</c:v>
                </c:pt>
                <c:pt idx="38">
                  <c:v>139</c:v>
                </c:pt>
                <c:pt idx="39">
                  <c:v>191</c:v>
                </c:pt>
                <c:pt idx="40">
                  <c:v>222</c:v>
                </c:pt>
                <c:pt idx="41">
                  <c:v>181</c:v>
                </c:pt>
                <c:pt idx="42">
                  <c:v>112</c:v>
                </c:pt>
                <c:pt idx="43">
                  <c:v>242</c:v>
                </c:pt>
                <c:pt idx="44">
                  <c:v>187</c:v>
                </c:pt>
                <c:pt idx="45">
                  <c:v>225</c:v>
                </c:pt>
                <c:pt idx="46">
                  <c:v>264</c:v>
                </c:pt>
                <c:pt idx="47">
                  <c:v>69</c:v>
                </c:pt>
                <c:pt idx="48">
                  <c:v>175</c:v>
                </c:pt>
                <c:pt idx="49">
                  <c:v>166</c:v>
                </c:pt>
                <c:pt idx="50">
                  <c:v>254</c:v>
                </c:pt>
                <c:pt idx="51">
                  <c:v>325</c:v>
                </c:pt>
                <c:pt idx="52">
                  <c:v>218</c:v>
                </c:pt>
                <c:pt idx="53">
                  <c:v>326</c:v>
                </c:pt>
                <c:pt idx="54">
                  <c:v>232</c:v>
                </c:pt>
                <c:pt idx="55">
                  <c:v>188</c:v>
                </c:pt>
                <c:pt idx="56">
                  <c:v>309</c:v>
                </c:pt>
                <c:pt idx="57">
                  <c:v>252</c:v>
                </c:pt>
                <c:pt idx="58">
                  <c:v>291</c:v>
                </c:pt>
                <c:pt idx="59">
                  <c:v>268</c:v>
                </c:pt>
                <c:pt idx="60">
                  <c:v>191</c:v>
                </c:pt>
                <c:pt idx="61">
                  <c:v>271</c:v>
                </c:pt>
                <c:pt idx="62">
                  <c:v>71</c:v>
                </c:pt>
                <c:pt idx="63">
                  <c:v>284</c:v>
                </c:pt>
                <c:pt idx="64">
                  <c:v>331</c:v>
                </c:pt>
                <c:pt idx="65">
                  <c:v>174</c:v>
                </c:pt>
                <c:pt idx="66">
                  <c:v>302</c:v>
                </c:pt>
                <c:pt idx="67">
                  <c:v>125</c:v>
                </c:pt>
                <c:pt idx="68">
                  <c:v>155</c:v>
                </c:pt>
                <c:pt idx="69">
                  <c:v>306</c:v>
                </c:pt>
                <c:pt idx="70">
                  <c:v>237</c:v>
                </c:pt>
                <c:pt idx="71">
                  <c:v>273</c:v>
                </c:pt>
                <c:pt idx="72">
                  <c:v>73</c:v>
                </c:pt>
                <c:pt idx="73">
                  <c:v>263</c:v>
                </c:pt>
                <c:pt idx="74">
                  <c:v>229</c:v>
                </c:pt>
                <c:pt idx="75">
                  <c:v>187</c:v>
                </c:pt>
                <c:pt idx="76">
                  <c:v>42</c:v>
                </c:pt>
                <c:pt idx="77">
                  <c:v>267</c:v>
                </c:pt>
                <c:pt idx="78">
                  <c:v>354</c:v>
                </c:pt>
                <c:pt idx="79">
                  <c:v>135</c:v>
                </c:pt>
                <c:pt idx="80">
                  <c:v>269</c:v>
                </c:pt>
                <c:pt idx="81">
                  <c:v>145</c:v>
                </c:pt>
                <c:pt idx="82">
                  <c:v>151</c:v>
                </c:pt>
                <c:pt idx="83">
                  <c:v>230</c:v>
                </c:pt>
                <c:pt idx="84">
                  <c:v>185</c:v>
                </c:pt>
                <c:pt idx="85">
                  <c:v>188</c:v>
                </c:pt>
                <c:pt idx="86">
                  <c:v>129</c:v>
                </c:pt>
                <c:pt idx="87">
                  <c:v>197</c:v>
                </c:pt>
                <c:pt idx="88">
                  <c:v>155</c:v>
                </c:pt>
                <c:pt idx="89">
                  <c:v>216</c:v>
                </c:pt>
                <c:pt idx="90">
                  <c:v>215</c:v>
                </c:pt>
                <c:pt idx="91">
                  <c:v>184</c:v>
                </c:pt>
                <c:pt idx="92">
                  <c:v>18</c:v>
                </c:pt>
                <c:pt idx="93">
                  <c:v>267</c:v>
                </c:pt>
                <c:pt idx="94">
                  <c:v>225</c:v>
                </c:pt>
                <c:pt idx="95">
                  <c:v>130</c:v>
                </c:pt>
                <c:pt idx="96">
                  <c:v>121</c:v>
                </c:pt>
                <c:pt idx="97">
                  <c:v>406</c:v>
                </c:pt>
                <c:pt idx="98">
                  <c:v>176</c:v>
                </c:pt>
                <c:pt idx="99">
                  <c:v>137</c:v>
                </c:pt>
                <c:pt idx="100">
                  <c:v>278</c:v>
                </c:pt>
                <c:pt idx="101">
                  <c:v>219</c:v>
                </c:pt>
                <c:pt idx="102">
                  <c:v>136</c:v>
                </c:pt>
                <c:pt idx="103">
                  <c:v>244</c:v>
                </c:pt>
                <c:pt idx="104">
                  <c:v>80</c:v>
                </c:pt>
                <c:pt idx="105">
                  <c:v>201</c:v>
                </c:pt>
                <c:pt idx="106">
                  <c:v>134</c:v>
                </c:pt>
                <c:pt idx="107">
                  <c:v>182</c:v>
                </c:pt>
                <c:pt idx="108">
                  <c:v>269</c:v>
                </c:pt>
                <c:pt idx="109">
                  <c:v>1</c:v>
                </c:pt>
                <c:pt idx="110">
                  <c:v>147</c:v>
                </c:pt>
                <c:pt idx="111">
                  <c:v>210</c:v>
                </c:pt>
                <c:pt idx="112">
                  <c:v>85</c:v>
                </c:pt>
                <c:pt idx="113">
                  <c:v>182</c:v>
                </c:pt>
                <c:pt idx="114">
                  <c:v>194</c:v>
                </c:pt>
                <c:pt idx="115">
                  <c:v>207</c:v>
                </c:pt>
                <c:pt idx="116">
                  <c:v>208</c:v>
                </c:pt>
                <c:pt idx="117">
                  <c:v>185</c:v>
                </c:pt>
                <c:pt idx="118">
                  <c:v>261</c:v>
                </c:pt>
                <c:pt idx="119">
                  <c:v>184</c:v>
                </c:pt>
                <c:pt idx="120">
                  <c:v>214</c:v>
                </c:pt>
                <c:pt idx="121">
                  <c:v>251</c:v>
                </c:pt>
                <c:pt idx="122">
                  <c:v>-1373</c:v>
                </c:pt>
                <c:pt idx="123">
                  <c:v>-20787</c:v>
                </c:pt>
                <c:pt idx="124">
                  <c:v>2725</c:v>
                </c:pt>
                <c:pt idx="125">
                  <c:v>4781</c:v>
                </c:pt>
                <c:pt idx="126">
                  <c:v>1761</c:v>
                </c:pt>
                <c:pt idx="127">
                  <c:v>1493</c:v>
                </c:pt>
                <c:pt idx="128">
                  <c:v>711</c:v>
                </c:pt>
                <c:pt idx="129">
                  <c:v>610</c:v>
                </c:pt>
                <c:pt idx="130">
                  <c:v>245</c:v>
                </c:pt>
              </c:numCache>
            </c:numRef>
          </c:val>
          <c:extLst>
            <c:ext xmlns:c16="http://schemas.microsoft.com/office/drawing/2014/chart" uri="{C3380CC4-5D6E-409C-BE32-E72D297353CC}">
              <c16:uniqueId val="{00000000-B266-4026-BF6D-11CAB2040C25}"/>
            </c:ext>
          </c:extLst>
        </c:ser>
        <c:dLbls>
          <c:showLegendKey val="0"/>
          <c:showVal val="0"/>
          <c:showCatName val="0"/>
          <c:showSerName val="0"/>
          <c:showPercent val="0"/>
          <c:showBubbleSize val="0"/>
        </c:dLbls>
        <c:gapWidth val="100"/>
        <c:axId val="262732607"/>
        <c:axId val="262720207"/>
      </c:barChart>
      <c:dateAx>
        <c:axId val="262732607"/>
        <c:scaling>
          <c:orientation val="minMax"/>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62720207"/>
        <c:crosses val="autoZero"/>
        <c:auto val="1"/>
        <c:lblOffset val="100"/>
        <c:baseTimeUnit val="months"/>
      </c:dateAx>
      <c:valAx>
        <c:axId val="262720207"/>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Thousands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627326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F Hightower</cp:lastModifiedBy>
  <cp:revision>3</cp:revision>
  <dcterms:created xsi:type="dcterms:W3CDTF">2020-12-10T17:25:00Z</dcterms:created>
  <dcterms:modified xsi:type="dcterms:W3CDTF">2020-12-10T17:28:00Z</dcterms:modified>
</cp:coreProperties>
</file>