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057DB" w14:textId="77777777" w:rsidR="00595F29" w:rsidRPr="002B2AA0" w:rsidRDefault="00595F29" w:rsidP="000051D8">
      <w:pPr>
        <w:shd w:val="clear" w:color="auto" w:fill="FFFFFF"/>
        <w:spacing w:after="0" w:line="240" w:lineRule="auto"/>
        <w:jc w:val="center"/>
        <w:rPr>
          <w:rFonts w:ascii="Cambria" w:eastAsia="Times New Roman" w:hAnsi="Cambria" w:cs="Times New Roman"/>
          <w:b/>
        </w:rPr>
      </w:pPr>
      <w:bookmarkStart w:id="0" w:name="_Hlk54611670"/>
      <w:bookmarkEnd w:id="0"/>
    </w:p>
    <w:p w14:paraId="48738591" w14:textId="6AB60655" w:rsidR="00595F29" w:rsidRPr="002B2AA0" w:rsidRDefault="00595F29" w:rsidP="000051D8">
      <w:pPr>
        <w:shd w:val="clear" w:color="auto" w:fill="FFFFFF"/>
        <w:spacing w:after="0" w:line="240" w:lineRule="auto"/>
        <w:jc w:val="center"/>
        <w:rPr>
          <w:rFonts w:ascii="Cambria" w:eastAsia="Times New Roman" w:hAnsi="Cambria" w:cs="Times New Roman"/>
          <w:b/>
        </w:rPr>
      </w:pPr>
      <w:r w:rsidRPr="002B2AA0">
        <w:rPr>
          <w:rFonts w:ascii="Cambria" w:eastAsia="Times New Roman" w:hAnsi="Cambria" w:cs="Times New Roman"/>
          <w:b/>
          <w:noProof/>
        </w:rPr>
        <w:drawing>
          <wp:inline distT="0" distB="0" distL="0" distR="0" wp14:anchorId="641DDE31" wp14:editId="0C32514F">
            <wp:extent cx="3111044" cy="591671"/>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color-left-med.png"/>
                    <pic:cNvPicPr/>
                  </pic:nvPicPr>
                  <pic:blipFill>
                    <a:blip r:embed="rId8">
                      <a:extLst>
                        <a:ext uri="{28A0092B-C50C-407E-A947-70E740481C1C}">
                          <a14:useLocalDpi xmlns:a14="http://schemas.microsoft.com/office/drawing/2010/main" val="0"/>
                        </a:ext>
                      </a:extLst>
                    </a:blip>
                    <a:stretch>
                      <a:fillRect/>
                    </a:stretch>
                  </pic:blipFill>
                  <pic:spPr>
                    <a:xfrm>
                      <a:off x="0" y="0"/>
                      <a:ext cx="3161758" cy="601316"/>
                    </a:xfrm>
                    <a:prstGeom prst="rect">
                      <a:avLst/>
                    </a:prstGeom>
                  </pic:spPr>
                </pic:pic>
              </a:graphicData>
            </a:graphic>
          </wp:inline>
        </w:drawing>
      </w:r>
    </w:p>
    <w:p w14:paraId="7F396E5F" w14:textId="77777777" w:rsidR="00595F29" w:rsidRPr="002B2AA0" w:rsidRDefault="00595F29" w:rsidP="000051D8">
      <w:pPr>
        <w:shd w:val="clear" w:color="auto" w:fill="FFFFFF"/>
        <w:spacing w:after="0" w:line="240" w:lineRule="auto"/>
        <w:jc w:val="center"/>
        <w:rPr>
          <w:rFonts w:ascii="Cambria" w:eastAsia="Times New Roman" w:hAnsi="Cambria" w:cs="Times New Roman"/>
          <w:b/>
        </w:rPr>
      </w:pPr>
    </w:p>
    <w:p w14:paraId="5BDAC14C" w14:textId="77777777" w:rsidR="00595F29" w:rsidRPr="002B2AA0" w:rsidRDefault="00595F29" w:rsidP="000051D8">
      <w:pPr>
        <w:shd w:val="clear" w:color="auto" w:fill="FFFFFF"/>
        <w:spacing w:after="0" w:line="240" w:lineRule="auto"/>
        <w:jc w:val="center"/>
        <w:rPr>
          <w:rFonts w:ascii="Cambria" w:eastAsia="Times New Roman" w:hAnsi="Cambria" w:cs="Times New Roman"/>
          <w:b/>
        </w:rPr>
      </w:pPr>
    </w:p>
    <w:p w14:paraId="40CBF66B" w14:textId="594C36AF" w:rsidR="000051D8" w:rsidRPr="002B2AA0" w:rsidRDefault="000051D8" w:rsidP="000051D8">
      <w:pPr>
        <w:shd w:val="clear" w:color="auto" w:fill="FFFFFF"/>
        <w:spacing w:after="0" w:line="240" w:lineRule="auto"/>
        <w:jc w:val="center"/>
        <w:rPr>
          <w:rFonts w:ascii="Cambria" w:eastAsia="Times New Roman" w:hAnsi="Cambria" w:cs="Times New Roman"/>
          <w:b/>
        </w:rPr>
      </w:pPr>
      <w:r w:rsidRPr="002B2AA0">
        <w:rPr>
          <w:rFonts w:ascii="Cambria" w:eastAsia="Times New Roman" w:hAnsi="Cambria" w:cs="Times New Roman"/>
          <w:b/>
        </w:rPr>
        <w:t>COVID-19 Impacts on Arkansas’ Agricultural and Rural Economies</w:t>
      </w:r>
    </w:p>
    <w:p w14:paraId="6BB94847" w14:textId="77777777" w:rsidR="000051D8" w:rsidRPr="002B2AA0" w:rsidRDefault="000051D8" w:rsidP="000051D8">
      <w:pPr>
        <w:shd w:val="clear" w:color="auto" w:fill="FFFFFF"/>
        <w:spacing w:after="0" w:line="240" w:lineRule="auto"/>
        <w:jc w:val="center"/>
        <w:rPr>
          <w:rFonts w:ascii="Cambria" w:eastAsia="Times New Roman" w:hAnsi="Cambria" w:cs="Times New Roman"/>
          <w:b/>
        </w:rPr>
      </w:pPr>
    </w:p>
    <w:p w14:paraId="3E16AABA" w14:textId="77777777" w:rsidR="000051D8" w:rsidRPr="002B2AA0" w:rsidRDefault="000051D8" w:rsidP="000051D8">
      <w:pPr>
        <w:shd w:val="clear" w:color="auto" w:fill="FFFFFF"/>
        <w:spacing w:after="0" w:line="240" w:lineRule="auto"/>
        <w:jc w:val="center"/>
        <w:rPr>
          <w:rFonts w:ascii="Cambria" w:eastAsia="Times New Roman" w:hAnsi="Cambria" w:cs="Times New Roman"/>
          <w:b/>
        </w:rPr>
      </w:pPr>
    </w:p>
    <w:p w14:paraId="06A080CF" w14:textId="77777777" w:rsidR="000051D8" w:rsidRPr="002B2AA0" w:rsidRDefault="000051D8" w:rsidP="000051D8">
      <w:pPr>
        <w:shd w:val="clear" w:color="auto" w:fill="FFFFFF"/>
        <w:spacing w:after="0" w:line="240" w:lineRule="auto"/>
        <w:jc w:val="center"/>
        <w:rPr>
          <w:rFonts w:ascii="Cambria" w:eastAsia="Times New Roman" w:hAnsi="Cambria" w:cs="Times New Roman"/>
          <w:b/>
          <w:sz w:val="48"/>
          <w:szCs w:val="48"/>
        </w:rPr>
      </w:pPr>
      <w:r w:rsidRPr="002B2AA0">
        <w:rPr>
          <w:rFonts w:ascii="Cambria" w:eastAsia="Times New Roman" w:hAnsi="Cambria" w:cs="Times New Roman"/>
          <w:b/>
          <w:sz w:val="48"/>
          <w:szCs w:val="48"/>
        </w:rPr>
        <w:t xml:space="preserve">UPDATE: </w:t>
      </w:r>
    </w:p>
    <w:p w14:paraId="567A3381" w14:textId="4700BF17" w:rsidR="000051D8" w:rsidRPr="002B2AA0" w:rsidRDefault="005E3376" w:rsidP="000051D8">
      <w:pPr>
        <w:shd w:val="clear" w:color="auto" w:fill="FFFFFF"/>
        <w:spacing w:after="0" w:line="240" w:lineRule="auto"/>
        <w:jc w:val="center"/>
        <w:rPr>
          <w:rFonts w:ascii="Cambria" w:eastAsia="Times New Roman" w:hAnsi="Cambria" w:cs="Times New Roman"/>
          <w:b/>
          <w:sz w:val="48"/>
          <w:szCs w:val="48"/>
        </w:rPr>
      </w:pPr>
      <w:r w:rsidRPr="002B2AA0">
        <w:rPr>
          <w:rFonts w:ascii="Cambria" w:eastAsia="Times New Roman" w:hAnsi="Cambria" w:cs="Times New Roman"/>
          <w:b/>
          <w:sz w:val="48"/>
          <w:szCs w:val="48"/>
        </w:rPr>
        <w:t>Slaughter Cow Markets</w:t>
      </w:r>
    </w:p>
    <w:p w14:paraId="2916BF72" w14:textId="77777777" w:rsidR="000051D8" w:rsidRPr="002B2AA0" w:rsidRDefault="000051D8" w:rsidP="000051D8">
      <w:pPr>
        <w:shd w:val="clear" w:color="auto" w:fill="FFFFFF"/>
        <w:spacing w:after="0" w:line="240" w:lineRule="auto"/>
        <w:rPr>
          <w:rFonts w:ascii="Cambria" w:eastAsia="Times New Roman" w:hAnsi="Cambria" w:cs="Times New Roman"/>
          <w:b/>
        </w:rPr>
      </w:pPr>
    </w:p>
    <w:p w14:paraId="68BB3B3F" w14:textId="77777777" w:rsidR="000051D8" w:rsidRPr="002B2AA0" w:rsidRDefault="000051D8" w:rsidP="000051D8">
      <w:pPr>
        <w:shd w:val="clear" w:color="auto" w:fill="FFFFFF"/>
        <w:spacing w:after="0" w:line="240" w:lineRule="auto"/>
        <w:rPr>
          <w:rFonts w:ascii="Cambria" w:eastAsia="Times New Roman" w:hAnsi="Cambria" w:cs="Times New Roman"/>
          <w:b/>
        </w:rPr>
      </w:pPr>
    </w:p>
    <w:p w14:paraId="71DCE0FC" w14:textId="77777777" w:rsidR="000051D8" w:rsidRPr="002B2AA0" w:rsidRDefault="000051D8" w:rsidP="000051D8">
      <w:pPr>
        <w:shd w:val="clear" w:color="auto" w:fill="FFFFFF"/>
        <w:spacing w:after="0" w:line="240" w:lineRule="auto"/>
        <w:jc w:val="center"/>
        <w:rPr>
          <w:rFonts w:ascii="Cambria" w:eastAsia="Times New Roman" w:hAnsi="Cambria" w:cs="Times New Roman"/>
          <w:b/>
        </w:rPr>
      </w:pPr>
      <w:r w:rsidRPr="002B2AA0">
        <w:rPr>
          <w:rFonts w:ascii="Cambria" w:eastAsia="Times New Roman" w:hAnsi="Cambria" w:cs="Times New Roman"/>
          <w:b/>
        </w:rPr>
        <w:t>Prepared by:</w:t>
      </w:r>
    </w:p>
    <w:p w14:paraId="41B0227A" w14:textId="77777777" w:rsidR="000051D8" w:rsidRPr="002B2AA0" w:rsidRDefault="000051D8" w:rsidP="000051D8">
      <w:pPr>
        <w:shd w:val="clear" w:color="auto" w:fill="FFFFFF"/>
        <w:spacing w:after="0" w:line="240" w:lineRule="auto"/>
        <w:jc w:val="center"/>
        <w:rPr>
          <w:rFonts w:ascii="Cambria" w:eastAsia="Times New Roman" w:hAnsi="Cambria" w:cs="Times New Roman"/>
          <w:b/>
        </w:rPr>
      </w:pPr>
    </w:p>
    <w:p w14:paraId="1D2770C6" w14:textId="77777777" w:rsidR="000051D8" w:rsidRPr="002B2AA0" w:rsidRDefault="000051D8" w:rsidP="000051D8">
      <w:pPr>
        <w:shd w:val="clear" w:color="auto" w:fill="FFFFFF"/>
        <w:spacing w:after="0" w:line="240" w:lineRule="auto"/>
        <w:jc w:val="center"/>
        <w:rPr>
          <w:rFonts w:ascii="Cambria" w:eastAsia="Times New Roman" w:hAnsi="Cambria" w:cs="Times New Roman"/>
          <w:b/>
        </w:rPr>
      </w:pPr>
    </w:p>
    <w:p w14:paraId="0D1E163A" w14:textId="0481683F" w:rsidR="000051D8" w:rsidRPr="002B2AA0" w:rsidRDefault="004D252B" w:rsidP="000051D8">
      <w:pPr>
        <w:shd w:val="clear" w:color="auto" w:fill="FFFFFF"/>
        <w:spacing w:after="0" w:line="240" w:lineRule="auto"/>
        <w:jc w:val="center"/>
        <w:rPr>
          <w:rFonts w:ascii="Cambria" w:eastAsia="Times New Roman" w:hAnsi="Cambria" w:cs="Times New Roman"/>
          <w:b/>
        </w:rPr>
      </w:pPr>
      <w:r w:rsidRPr="002B2AA0">
        <w:rPr>
          <w:rFonts w:ascii="Cambria" w:eastAsia="Times New Roman" w:hAnsi="Cambria" w:cs="Times New Roman"/>
          <w:b/>
        </w:rPr>
        <w:t>James Mitchell</w:t>
      </w:r>
    </w:p>
    <w:p w14:paraId="56476EAF" w14:textId="77777777" w:rsidR="000051D8" w:rsidRPr="002B2AA0" w:rsidRDefault="000051D8" w:rsidP="000051D8">
      <w:pPr>
        <w:shd w:val="clear" w:color="auto" w:fill="FFFFFF"/>
        <w:spacing w:after="0" w:line="240" w:lineRule="auto"/>
        <w:jc w:val="center"/>
        <w:rPr>
          <w:rFonts w:ascii="Cambria" w:eastAsia="Times New Roman" w:hAnsi="Cambria" w:cs="Times New Roman"/>
          <w:b/>
        </w:rPr>
      </w:pPr>
      <w:r w:rsidRPr="002B2AA0">
        <w:rPr>
          <w:rFonts w:ascii="Cambria" w:eastAsia="Times New Roman" w:hAnsi="Cambria" w:cs="Times New Roman"/>
          <w:b/>
        </w:rPr>
        <w:t xml:space="preserve">Department of Agricultural Economics and Agribusiness </w:t>
      </w:r>
    </w:p>
    <w:p w14:paraId="0D6E1195" w14:textId="77777777" w:rsidR="000051D8" w:rsidRPr="002B2AA0" w:rsidRDefault="000051D8" w:rsidP="000051D8">
      <w:pPr>
        <w:shd w:val="clear" w:color="auto" w:fill="FFFFFF"/>
        <w:spacing w:after="0" w:line="240" w:lineRule="auto"/>
        <w:jc w:val="center"/>
        <w:rPr>
          <w:rFonts w:ascii="Cambria" w:eastAsia="Times New Roman" w:hAnsi="Cambria" w:cs="Times New Roman"/>
          <w:b/>
        </w:rPr>
      </w:pPr>
    </w:p>
    <w:p w14:paraId="52A54B15" w14:textId="77777777" w:rsidR="000051D8" w:rsidRPr="002B2AA0" w:rsidRDefault="000051D8" w:rsidP="000051D8">
      <w:pPr>
        <w:shd w:val="clear" w:color="auto" w:fill="FFFFFF"/>
        <w:spacing w:after="0" w:line="240" w:lineRule="auto"/>
        <w:jc w:val="center"/>
        <w:rPr>
          <w:rFonts w:ascii="Cambria" w:eastAsia="Times New Roman" w:hAnsi="Cambria" w:cs="Times New Roman"/>
          <w:b/>
        </w:rPr>
      </w:pPr>
    </w:p>
    <w:p w14:paraId="2A3E492F" w14:textId="77777777" w:rsidR="000051D8" w:rsidRPr="002B2AA0" w:rsidRDefault="000051D8" w:rsidP="000051D8">
      <w:pPr>
        <w:shd w:val="clear" w:color="auto" w:fill="FFFFFF"/>
        <w:spacing w:after="0" w:line="240" w:lineRule="auto"/>
        <w:jc w:val="center"/>
        <w:rPr>
          <w:rFonts w:ascii="Cambria" w:eastAsia="Times New Roman" w:hAnsi="Cambria" w:cs="Times New Roman"/>
          <w:b/>
        </w:rPr>
      </w:pPr>
    </w:p>
    <w:p w14:paraId="328A60C6" w14:textId="07A3308A" w:rsidR="000051D8" w:rsidRPr="002B2AA0" w:rsidRDefault="009462A1" w:rsidP="000051D8">
      <w:pPr>
        <w:shd w:val="clear" w:color="auto" w:fill="FFFFFF"/>
        <w:spacing w:after="0" w:line="240" w:lineRule="auto"/>
        <w:jc w:val="center"/>
        <w:rPr>
          <w:rFonts w:ascii="Cambria" w:eastAsia="Times New Roman" w:hAnsi="Cambria" w:cs="Times New Roman"/>
          <w:b/>
        </w:rPr>
      </w:pPr>
      <w:r w:rsidRPr="002B2AA0">
        <w:rPr>
          <w:rFonts w:ascii="Cambria" w:eastAsia="Times New Roman" w:hAnsi="Cambria" w:cs="Times New Roman"/>
          <w:b/>
        </w:rPr>
        <w:t>December</w:t>
      </w:r>
      <w:r w:rsidR="008D6457" w:rsidRPr="002B2AA0">
        <w:rPr>
          <w:rFonts w:ascii="Cambria" w:eastAsia="Times New Roman" w:hAnsi="Cambria" w:cs="Times New Roman"/>
          <w:b/>
        </w:rPr>
        <w:t xml:space="preserve"> </w:t>
      </w:r>
      <w:r w:rsidRPr="002B2AA0">
        <w:rPr>
          <w:rFonts w:ascii="Cambria" w:eastAsia="Times New Roman" w:hAnsi="Cambria" w:cs="Times New Roman"/>
          <w:b/>
        </w:rPr>
        <w:t>1</w:t>
      </w:r>
      <w:r w:rsidR="000051D8" w:rsidRPr="002B2AA0">
        <w:rPr>
          <w:rFonts w:ascii="Cambria" w:eastAsia="Times New Roman" w:hAnsi="Cambria" w:cs="Times New Roman"/>
          <w:b/>
        </w:rPr>
        <w:t>, 2020</w:t>
      </w:r>
    </w:p>
    <w:p w14:paraId="01AF5776" w14:textId="77777777" w:rsidR="000051D8" w:rsidRPr="002B2AA0" w:rsidRDefault="000051D8" w:rsidP="000051D8">
      <w:pPr>
        <w:shd w:val="clear" w:color="auto" w:fill="FFFFFF"/>
        <w:spacing w:after="0" w:line="240" w:lineRule="auto"/>
        <w:jc w:val="center"/>
        <w:rPr>
          <w:rFonts w:ascii="Cambria" w:eastAsia="Times New Roman" w:hAnsi="Cambria" w:cs="Times New Roman"/>
          <w:b/>
        </w:rPr>
      </w:pPr>
    </w:p>
    <w:p w14:paraId="1C0303B9" w14:textId="77777777" w:rsidR="009462A1" w:rsidRPr="002B2AA0" w:rsidRDefault="009462A1" w:rsidP="000051D8">
      <w:pPr>
        <w:rPr>
          <w:rFonts w:ascii="Cambria" w:hAnsi="Cambria"/>
        </w:rPr>
      </w:pPr>
    </w:p>
    <w:p w14:paraId="6E94F52E" w14:textId="77777777" w:rsidR="009462A1" w:rsidRPr="002B2AA0" w:rsidRDefault="009462A1" w:rsidP="000051D8">
      <w:pPr>
        <w:rPr>
          <w:rFonts w:ascii="Cambria" w:hAnsi="Cambria"/>
        </w:rPr>
      </w:pPr>
    </w:p>
    <w:p w14:paraId="7CE32AA5" w14:textId="77777777" w:rsidR="009462A1" w:rsidRPr="002B2AA0" w:rsidRDefault="009462A1" w:rsidP="000051D8">
      <w:pPr>
        <w:rPr>
          <w:rFonts w:ascii="Cambria" w:hAnsi="Cambria"/>
        </w:rPr>
      </w:pPr>
    </w:p>
    <w:p w14:paraId="2A2B9B80" w14:textId="77777777" w:rsidR="009462A1" w:rsidRPr="002B2AA0" w:rsidRDefault="009462A1" w:rsidP="000051D8">
      <w:pPr>
        <w:rPr>
          <w:rFonts w:ascii="Cambria" w:hAnsi="Cambria"/>
        </w:rPr>
      </w:pPr>
    </w:p>
    <w:p w14:paraId="26B5B784" w14:textId="77777777" w:rsidR="009462A1" w:rsidRPr="002B2AA0" w:rsidRDefault="009462A1" w:rsidP="000051D8">
      <w:pPr>
        <w:rPr>
          <w:rFonts w:ascii="Cambria" w:hAnsi="Cambria"/>
        </w:rPr>
      </w:pPr>
    </w:p>
    <w:p w14:paraId="61606430" w14:textId="77777777" w:rsidR="009462A1" w:rsidRPr="002B2AA0" w:rsidRDefault="009462A1" w:rsidP="000051D8">
      <w:pPr>
        <w:rPr>
          <w:rFonts w:ascii="Cambria" w:hAnsi="Cambria"/>
        </w:rPr>
      </w:pPr>
    </w:p>
    <w:p w14:paraId="26CE8998" w14:textId="77777777" w:rsidR="009462A1" w:rsidRPr="002B2AA0" w:rsidRDefault="009462A1" w:rsidP="000051D8">
      <w:pPr>
        <w:rPr>
          <w:rFonts w:ascii="Cambria" w:hAnsi="Cambria"/>
        </w:rPr>
      </w:pPr>
    </w:p>
    <w:p w14:paraId="691B974E" w14:textId="77777777" w:rsidR="009462A1" w:rsidRPr="002B2AA0" w:rsidRDefault="009462A1" w:rsidP="000051D8">
      <w:pPr>
        <w:rPr>
          <w:rFonts w:ascii="Cambria" w:hAnsi="Cambria"/>
        </w:rPr>
      </w:pPr>
    </w:p>
    <w:p w14:paraId="260E5BFA" w14:textId="77777777" w:rsidR="009462A1" w:rsidRPr="002B2AA0" w:rsidRDefault="009462A1" w:rsidP="000051D8">
      <w:pPr>
        <w:rPr>
          <w:rFonts w:ascii="Cambria" w:hAnsi="Cambria"/>
        </w:rPr>
      </w:pPr>
    </w:p>
    <w:p w14:paraId="52999563" w14:textId="77777777" w:rsidR="009462A1" w:rsidRPr="002B2AA0" w:rsidRDefault="009462A1" w:rsidP="000051D8">
      <w:pPr>
        <w:rPr>
          <w:rFonts w:ascii="Cambria" w:hAnsi="Cambria"/>
        </w:rPr>
      </w:pPr>
    </w:p>
    <w:p w14:paraId="7918DD03" w14:textId="77777777" w:rsidR="009462A1" w:rsidRPr="002B2AA0" w:rsidRDefault="009462A1" w:rsidP="000051D8">
      <w:pPr>
        <w:rPr>
          <w:rFonts w:ascii="Cambria" w:hAnsi="Cambria"/>
        </w:rPr>
      </w:pPr>
    </w:p>
    <w:p w14:paraId="413CB519" w14:textId="77777777" w:rsidR="009462A1" w:rsidRPr="002B2AA0" w:rsidRDefault="009462A1" w:rsidP="000051D8">
      <w:pPr>
        <w:rPr>
          <w:rFonts w:ascii="Cambria" w:hAnsi="Cambria"/>
        </w:rPr>
      </w:pPr>
    </w:p>
    <w:p w14:paraId="730EAB75" w14:textId="77777777" w:rsidR="00B71D61" w:rsidRDefault="00B71D61" w:rsidP="009462A1">
      <w:pPr>
        <w:rPr>
          <w:rFonts w:ascii="Arial" w:hAnsi="Arial" w:cs="Arial"/>
        </w:rPr>
      </w:pPr>
    </w:p>
    <w:p w14:paraId="3A725C43" w14:textId="77777777" w:rsidR="00B71D61" w:rsidRDefault="00B71D61" w:rsidP="009462A1">
      <w:pPr>
        <w:rPr>
          <w:rFonts w:ascii="Arial" w:hAnsi="Arial" w:cs="Arial"/>
        </w:rPr>
      </w:pPr>
    </w:p>
    <w:p w14:paraId="4175071F" w14:textId="14D4955A" w:rsidR="009F3862" w:rsidRPr="00B71D61" w:rsidRDefault="00B71D61" w:rsidP="009462A1">
      <w:pPr>
        <w:rPr>
          <w:rFonts w:ascii="Arial" w:hAnsi="Arial" w:cs="Arial"/>
          <w:b/>
          <w:bCs/>
        </w:rPr>
      </w:pPr>
      <w:r w:rsidRPr="00B71D61">
        <w:rPr>
          <w:rFonts w:ascii="Arial" w:hAnsi="Arial" w:cs="Arial"/>
          <w:b/>
          <w:bCs/>
        </w:rPr>
        <w:lastRenderedPageBreak/>
        <w:t xml:space="preserve">Fig. 1. </w:t>
      </w:r>
    </w:p>
    <w:p w14:paraId="0C22A6D4" w14:textId="289C2588" w:rsidR="009F3862" w:rsidRPr="002B2AA0" w:rsidRDefault="009F3862" w:rsidP="009F3862">
      <w:pPr>
        <w:spacing w:after="0"/>
        <w:rPr>
          <w:rFonts w:ascii="Cambria" w:hAnsi="Cambria"/>
          <w:sz w:val="18"/>
          <w:szCs w:val="18"/>
        </w:rPr>
      </w:pPr>
      <w:r w:rsidRPr="002B2AA0">
        <w:rPr>
          <w:rFonts w:ascii="Cambria" w:hAnsi="Cambria"/>
          <w:noProof/>
          <w:sz w:val="18"/>
          <w:szCs w:val="18"/>
        </w:rPr>
        <w:drawing>
          <wp:inline distT="0" distB="0" distL="0" distR="0" wp14:anchorId="0C01889E" wp14:editId="525AFA2B">
            <wp:extent cx="5956300" cy="3218815"/>
            <wp:effectExtent l="0" t="0" r="635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6300" cy="3218815"/>
                    </a:xfrm>
                    <a:prstGeom prst="rect">
                      <a:avLst/>
                    </a:prstGeom>
                    <a:noFill/>
                  </pic:spPr>
                </pic:pic>
              </a:graphicData>
            </a:graphic>
          </wp:inline>
        </w:drawing>
      </w:r>
    </w:p>
    <w:p w14:paraId="09589F23" w14:textId="081A66C9" w:rsidR="009F3862" w:rsidRPr="002B2AA0" w:rsidRDefault="009F3862" w:rsidP="009F3862">
      <w:pPr>
        <w:spacing w:after="0"/>
        <w:rPr>
          <w:rFonts w:ascii="Cambria" w:hAnsi="Cambria"/>
          <w:sz w:val="18"/>
          <w:szCs w:val="18"/>
        </w:rPr>
      </w:pPr>
      <w:r w:rsidRPr="002B2AA0">
        <w:rPr>
          <w:rFonts w:ascii="Cambria" w:hAnsi="Cambria"/>
          <w:sz w:val="18"/>
          <w:szCs w:val="18"/>
        </w:rPr>
        <w:t>Source: USDA-AMS</w:t>
      </w:r>
    </w:p>
    <w:p w14:paraId="77E5EFC7" w14:textId="77777777" w:rsidR="009F3862" w:rsidRPr="002B2AA0" w:rsidRDefault="009F3862" w:rsidP="009F3862">
      <w:pPr>
        <w:spacing w:after="0"/>
        <w:rPr>
          <w:rFonts w:ascii="Cambria" w:hAnsi="Cambria"/>
          <w:sz w:val="18"/>
          <w:szCs w:val="18"/>
        </w:rPr>
      </w:pPr>
    </w:p>
    <w:p w14:paraId="03C174D3" w14:textId="77777777" w:rsidR="009F3862" w:rsidRPr="002B2AA0" w:rsidRDefault="009F3862" w:rsidP="009462A1">
      <w:pPr>
        <w:rPr>
          <w:rFonts w:ascii="Cambria" w:hAnsi="Cambria"/>
        </w:rPr>
      </w:pPr>
      <w:r w:rsidRPr="002B2AA0">
        <w:rPr>
          <w:rFonts w:ascii="Cambria" w:hAnsi="Cambria"/>
        </w:rPr>
        <w:t xml:space="preserve">As the fall concludes, livestock market analysts have been closely following feeder cattle markets. This fall has been significant as we continue to track the impacts of COVID-19 and more traditional cattle market fundamentals. Feeder cattle markets are not the only markets to watch as we move into the winter months. Cull cow markets are also important for us to monitor. Peel and </w:t>
      </w:r>
      <w:proofErr w:type="spellStart"/>
      <w:r w:rsidRPr="002B2AA0">
        <w:rPr>
          <w:rFonts w:ascii="Cambria" w:hAnsi="Cambria"/>
        </w:rPr>
        <w:t>Doye</w:t>
      </w:r>
      <w:proofErr w:type="spellEnd"/>
      <w:r w:rsidRPr="002B2AA0">
        <w:rPr>
          <w:rFonts w:ascii="Cambria" w:hAnsi="Cambria"/>
        </w:rPr>
        <w:t xml:space="preserve"> (2008) show that cull animals represent 10-20 percent of total revenue for the average cow-calf operation. Because they are an important component of a producer’s income stream, an update on cull cow markets is warranted. </w:t>
      </w:r>
    </w:p>
    <w:p w14:paraId="5F31EE0E" w14:textId="54AFC4F0" w:rsidR="009462A1" w:rsidRPr="002B2AA0" w:rsidRDefault="009462A1" w:rsidP="009462A1">
      <w:pPr>
        <w:rPr>
          <w:rFonts w:ascii="Cambria" w:hAnsi="Cambria"/>
        </w:rPr>
      </w:pPr>
      <w:r w:rsidRPr="002B2AA0">
        <w:rPr>
          <w:rFonts w:ascii="Cambria" w:hAnsi="Cambria"/>
        </w:rPr>
        <w:t xml:space="preserve">The Fall represents a period when many producers make important culling decisions for their cow herds. The above figure provides prices for 85-90% lean slaughter cows sold in </w:t>
      </w:r>
      <w:r w:rsidR="00D82A39" w:rsidRPr="002B2AA0">
        <w:rPr>
          <w:rFonts w:ascii="Cambria" w:hAnsi="Cambria"/>
        </w:rPr>
        <w:t>Arkansas</w:t>
      </w:r>
      <w:r w:rsidRPr="002B2AA0">
        <w:rPr>
          <w:rFonts w:ascii="Cambria" w:hAnsi="Cambria"/>
        </w:rPr>
        <w:t>. The most recent available data is for the week ending November 22, 2020. For that week, average slaughter cow prices were $38.79/cwt. These prices correspond to a 13</w:t>
      </w:r>
      <w:r w:rsidR="00D82A39" w:rsidRPr="002B2AA0">
        <w:rPr>
          <w:rFonts w:ascii="Cambria" w:hAnsi="Cambria"/>
        </w:rPr>
        <w:t>%</w:t>
      </w:r>
      <w:r w:rsidRPr="002B2AA0">
        <w:rPr>
          <w:rFonts w:ascii="Cambria" w:hAnsi="Cambria"/>
        </w:rPr>
        <w:t xml:space="preserve"> week-over-week change.</w:t>
      </w:r>
    </w:p>
    <w:p w14:paraId="75F5A7A7" w14:textId="5A6EBBC9" w:rsidR="00F831F3" w:rsidRPr="002B2AA0" w:rsidRDefault="009462A1" w:rsidP="00F831F3">
      <w:pPr>
        <w:rPr>
          <w:rFonts w:ascii="Cambria" w:hAnsi="Cambria"/>
        </w:rPr>
      </w:pPr>
      <w:r w:rsidRPr="002B2AA0">
        <w:rPr>
          <w:rFonts w:ascii="Cambria" w:hAnsi="Cambria"/>
        </w:rPr>
        <w:t>Cull cow prices tend to reach a seasonal low point in the fall. Still, 2020 cull cow prices remain above 2019 levels. Specifically, cull cow prices for the week ending November 22, 2020, were 19</w:t>
      </w:r>
      <w:r w:rsidR="00D82A39" w:rsidRPr="002B2AA0">
        <w:rPr>
          <w:rFonts w:ascii="Cambria" w:hAnsi="Cambria"/>
        </w:rPr>
        <w:t>%</w:t>
      </w:r>
      <w:r w:rsidRPr="002B2AA0">
        <w:rPr>
          <w:rFonts w:ascii="Cambria" w:hAnsi="Cambria"/>
        </w:rPr>
        <w:t xml:space="preserve"> above 2019 prices for the same week. More broadly,</w:t>
      </w:r>
      <w:r w:rsidR="00D82A39" w:rsidRPr="002B2AA0">
        <w:rPr>
          <w:rFonts w:ascii="Cambria" w:hAnsi="Cambria"/>
        </w:rPr>
        <w:t xml:space="preserve"> Sep-Nov prices have averaged 6% above 2019 prices. </w:t>
      </w:r>
      <w:r w:rsidR="00F831F3" w:rsidRPr="002B2AA0">
        <w:rPr>
          <w:rFonts w:ascii="Cambria" w:hAnsi="Cambria"/>
        </w:rPr>
        <w:t xml:space="preserve">Regional beef cow slaughter has also averaged well-above 2019 in parts of the country. In region 6, which corresponds to AR, LA, NM, OK, and TX, Sep-Nov beef cow slaughter has averaged 11% above 2019 slaughter for the same period. </w:t>
      </w:r>
    </w:p>
    <w:p w14:paraId="2E2D7F48" w14:textId="39A572AB" w:rsidR="00F831F3" w:rsidRPr="002B2AA0" w:rsidRDefault="00F831F3" w:rsidP="00F831F3">
      <w:pPr>
        <w:rPr>
          <w:rFonts w:ascii="Cambria" w:hAnsi="Cambria"/>
        </w:rPr>
      </w:pPr>
      <w:r w:rsidRPr="002B2AA0">
        <w:rPr>
          <w:rFonts w:ascii="Cambria" w:hAnsi="Cambria"/>
        </w:rPr>
        <w:t xml:space="preserve">There are both supply and demand-side factors that have likely contributed to what we have seen play out this year in slaughter cow markets. Beef cows are an input for ground beef production. We have witnessed periods of higher demand for ground beef this year with an uncertain eating environment due to COVID-19. At the same time, COVID-19 stressed processing capacity, and market-ready cattle were held on feed longer. </w:t>
      </w:r>
      <w:r w:rsidR="00B71D61">
        <w:rPr>
          <w:rFonts w:ascii="Cambria" w:hAnsi="Cambria"/>
        </w:rPr>
        <w:t>A</w:t>
      </w:r>
      <w:r w:rsidRPr="002B2AA0">
        <w:rPr>
          <w:rFonts w:ascii="Cambria" w:hAnsi="Cambria"/>
        </w:rPr>
        <w:t xml:space="preserve">verage dressed weights have been above 2019 average dressed weights. A by-product of heavier dressed weights is more 50/50 trimmings, which </w:t>
      </w:r>
      <w:r w:rsidRPr="002B2AA0">
        <w:rPr>
          <w:rFonts w:ascii="Cambria" w:hAnsi="Cambria"/>
        </w:rPr>
        <w:lastRenderedPageBreak/>
        <w:t>requires more lean trimmings for blending to make ground beef at a target lean content. This has likely resulted in higher processor demand for slaughter cows, which might contribute to higher cull cow prices coupled with lower dairy cow slaughter. Drought conditions and the impacts of COVID-19 on cattle prices are likely supply-side contributors.</w:t>
      </w:r>
    </w:p>
    <w:p w14:paraId="3FFB66FD" w14:textId="6FCB0F16" w:rsidR="00F831F3" w:rsidRDefault="00F831F3" w:rsidP="009462A1">
      <w:pPr>
        <w:rPr>
          <w:rFonts w:ascii="Cambria" w:hAnsi="Cambria"/>
        </w:rPr>
      </w:pPr>
      <w:r w:rsidRPr="002B2AA0">
        <w:rPr>
          <w:rFonts w:ascii="Cambria" w:hAnsi="Cambria"/>
        </w:rPr>
        <w:t>To conclude, it will be interesting to see what the January cattle inventory report reveals about the beef cow herd.</w:t>
      </w:r>
    </w:p>
    <w:p w14:paraId="39D894CB" w14:textId="77777777" w:rsidR="00B71D61" w:rsidRPr="00B71D61" w:rsidRDefault="00B71D61" w:rsidP="00B71D61">
      <w:pPr>
        <w:spacing w:after="0"/>
        <w:rPr>
          <w:rFonts w:ascii="Arial" w:hAnsi="Arial" w:cs="Arial"/>
          <w:b/>
          <w:bCs/>
        </w:rPr>
      </w:pPr>
      <w:r w:rsidRPr="00B71D61">
        <w:rPr>
          <w:rFonts w:ascii="Arial" w:hAnsi="Arial" w:cs="Arial"/>
          <w:b/>
          <w:bCs/>
        </w:rPr>
        <w:t xml:space="preserve">Fig 2.  </w:t>
      </w:r>
      <w:r w:rsidRPr="00B71D61">
        <w:rPr>
          <w:rFonts w:ascii="Arial" w:eastAsia="Times New Roman" w:hAnsi="Arial" w:cs="Arial"/>
          <w:b/>
          <w:bCs/>
          <w:color w:val="000000"/>
        </w:rPr>
        <w:t>Percent change in the number of head slaughtered each week vs. the same week a year ago.</w:t>
      </w:r>
    </w:p>
    <w:p w14:paraId="5C0EAB90" w14:textId="77777777" w:rsidR="00B71D61" w:rsidRPr="002B2AA0" w:rsidRDefault="00B71D61" w:rsidP="009462A1">
      <w:pPr>
        <w:rPr>
          <w:rFonts w:ascii="Cambria" w:hAnsi="Cambria"/>
        </w:rPr>
      </w:pPr>
    </w:p>
    <w:p w14:paraId="69C9CFBE" w14:textId="77777777" w:rsidR="009F3862" w:rsidRPr="002B2AA0" w:rsidRDefault="009F3862" w:rsidP="009F3862">
      <w:pPr>
        <w:spacing w:after="0"/>
        <w:rPr>
          <w:rFonts w:ascii="Cambria" w:hAnsi="Cambria"/>
          <w:sz w:val="18"/>
          <w:szCs w:val="18"/>
        </w:rPr>
      </w:pPr>
      <w:r w:rsidRPr="002B2AA0">
        <w:rPr>
          <w:rFonts w:ascii="Cambria" w:hAnsi="Cambria"/>
          <w:noProof/>
          <w:sz w:val="18"/>
          <w:szCs w:val="18"/>
        </w:rPr>
        <w:drawing>
          <wp:inline distT="0" distB="0" distL="0" distR="0" wp14:anchorId="71B44EE6" wp14:editId="3134E993">
            <wp:extent cx="6071870" cy="3133725"/>
            <wp:effectExtent l="0" t="0" r="508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1870" cy="3133725"/>
                    </a:xfrm>
                    <a:prstGeom prst="rect">
                      <a:avLst/>
                    </a:prstGeom>
                    <a:noFill/>
                  </pic:spPr>
                </pic:pic>
              </a:graphicData>
            </a:graphic>
          </wp:inline>
        </w:drawing>
      </w:r>
    </w:p>
    <w:p w14:paraId="5EBF0DC3" w14:textId="77777777" w:rsidR="00B71D61" w:rsidRDefault="009F3862" w:rsidP="009F3862">
      <w:pPr>
        <w:spacing w:after="0"/>
        <w:rPr>
          <w:rFonts w:ascii="Cambria" w:hAnsi="Cambria"/>
          <w:sz w:val="18"/>
          <w:szCs w:val="18"/>
        </w:rPr>
      </w:pPr>
      <w:r w:rsidRPr="002B2AA0">
        <w:rPr>
          <w:rFonts w:ascii="Cambria" w:hAnsi="Cambria"/>
          <w:sz w:val="18"/>
          <w:szCs w:val="18"/>
        </w:rPr>
        <w:t>Source: LMIC</w:t>
      </w:r>
    </w:p>
    <w:p w14:paraId="3EBB00F1" w14:textId="679F66EE" w:rsidR="005B11ED" w:rsidRDefault="000051D8" w:rsidP="009F3862">
      <w:pPr>
        <w:spacing w:after="0"/>
        <w:rPr>
          <w:rFonts w:ascii="Cambria" w:hAnsi="Cambria"/>
        </w:rPr>
      </w:pPr>
      <w:r w:rsidRPr="002B2AA0">
        <w:rPr>
          <w:rFonts w:ascii="Cambria" w:hAnsi="Cambria"/>
        </w:rPr>
        <w:br w:type="page"/>
      </w:r>
    </w:p>
    <w:p w14:paraId="226AE37B" w14:textId="77777777" w:rsidR="00B71D61" w:rsidRPr="002B2AA0" w:rsidRDefault="00B71D61" w:rsidP="009F3862">
      <w:pPr>
        <w:spacing w:after="0"/>
        <w:rPr>
          <w:rFonts w:ascii="Cambria" w:hAnsi="Cambria"/>
          <w:b/>
        </w:rPr>
      </w:pPr>
    </w:p>
    <w:p w14:paraId="1A5BD5E0" w14:textId="00F77E55" w:rsidR="000D56F6" w:rsidRPr="002B2AA0" w:rsidRDefault="009F3862" w:rsidP="003E77F3">
      <w:pPr>
        <w:spacing w:after="0"/>
        <w:rPr>
          <w:rFonts w:ascii="Cambria" w:hAnsi="Cambria"/>
          <w:noProof/>
        </w:rPr>
      </w:pPr>
      <w:r w:rsidRPr="002B2AA0">
        <w:rPr>
          <w:rFonts w:ascii="Cambria" w:hAnsi="Cambria"/>
          <w:noProof/>
        </w:rPr>
        <w:t>References:</w:t>
      </w:r>
    </w:p>
    <w:p w14:paraId="6AE1B39D" w14:textId="698BB36F" w:rsidR="009F3862" w:rsidRPr="002B2AA0" w:rsidRDefault="009F3862" w:rsidP="003E77F3">
      <w:pPr>
        <w:spacing w:after="0"/>
        <w:rPr>
          <w:rFonts w:ascii="Cambria" w:hAnsi="Cambria"/>
          <w:noProof/>
        </w:rPr>
      </w:pPr>
      <w:r w:rsidRPr="002B2AA0">
        <w:rPr>
          <w:rFonts w:ascii="Cambria" w:hAnsi="Cambria"/>
          <w:noProof/>
        </w:rPr>
        <w:t xml:space="preserve">Peel, D.S., and D. Doye. 2008. Cull Cow Grazing and Marketing Opportunities. Oklahoma Cooperative Extension Service, Oklahoma State University, Fact Sheet AGEC-613. </w:t>
      </w:r>
    </w:p>
    <w:p w14:paraId="2F6F9AEB" w14:textId="6796EAEE" w:rsidR="009F3862" w:rsidRPr="002B2AA0" w:rsidRDefault="009F3862" w:rsidP="003E77F3">
      <w:pPr>
        <w:spacing w:after="0"/>
        <w:rPr>
          <w:rFonts w:ascii="Cambria" w:hAnsi="Cambria"/>
          <w:noProof/>
        </w:rPr>
      </w:pPr>
    </w:p>
    <w:p w14:paraId="23BFAA31" w14:textId="7497DC9E" w:rsidR="009F3862" w:rsidRPr="002B2AA0" w:rsidRDefault="009F3862" w:rsidP="003E77F3">
      <w:pPr>
        <w:spacing w:after="0"/>
        <w:rPr>
          <w:rFonts w:ascii="Cambria" w:hAnsi="Cambria"/>
          <w:noProof/>
        </w:rPr>
      </w:pPr>
      <w:r w:rsidRPr="002B2AA0">
        <w:rPr>
          <w:rFonts w:ascii="Cambria" w:hAnsi="Cambria"/>
          <w:noProof/>
        </w:rPr>
        <w:t>Author’s Note:</w:t>
      </w:r>
    </w:p>
    <w:p w14:paraId="62907F2F" w14:textId="02AFBC29" w:rsidR="009F3862" w:rsidRPr="002B2AA0" w:rsidRDefault="005E3376" w:rsidP="003E77F3">
      <w:pPr>
        <w:spacing w:after="0"/>
        <w:rPr>
          <w:rFonts w:ascii="Cambria" w:hAnsi="Cambria"/>
        </w:rPr>
      </w:pPr>
      <w:r w:rsidRPr="002B2AA0">
        <w:rPr>
          <w:rFonts w:ascii="Cambria" w:hAnsi="Cambria"/>
        </w:rPr>
        <w:t xml:space="preserve">A similar version of this article appears in the Cattle Markets Notes Newsletter written by James Mitchell. The article is available at: </w:t>
      </w:r>
      <w:hyperlink r:id="rId11" w:history="1">
        <w:r w:rsidRPr="002B2AA0">
          <w:rPr>
            <w:rStyle w:val="Hyperlink"/>
            <w:rFonts w:ascii="Cambria" w:hAnsi="Cambria"/>
          </w:rPr>
          <w:t>https://mailchi.mp/fdfd41d1d2e0/cattle-market-notes-weekly-18838644?e=35c55ad19b</w:t>
        </w:r>
      </w:hyperlink>
      <w:r w:rsidRPr="002B2AA0">
        <w:rPr>
          <w:rFonts w:ascii="Cambria" w:hAnsi="Cambria"/>
        </w:rPr>
        <w:t xml:space="preserve">. </w:t>
      </w:r>
    </w:p>
    <w:p w14:paraId="17DD1AF4" w14:textId="185FBB5D" w:rsidR="009F3862" w:rsidRPr="002B2AA0" w:rsidRDefault="009F3862" w:rsidP="003E77F3">
      <w:pPr>
        <w:spacing w:after="0"/>
        <w:rPr>
          <w:rFonts w:ascii="Cambria" w:hAnsi="Cambria"/>
        </w:rPr>
      </w:pPr>
    </w:p>
    <w:p w14:paraId="2BA3A585" w14:textId="4011A4C6" w:rsidR="009F3862" w:rsidRPr="002B2AA0" w:rsidRDefault="009F3862" w:rsidP="003E77F3">
      <w:pPr>
        <w:spacing w:after="0"/>
        <w:rPr>
          <w:rFonts w:ascii="Cambria" w:hAnsi="Cambria"/>
        </w:rPr>
      </w:pPr>
    </w:p>
    <w:p w14:paraId="7FEB2860" w14:textId="7B78F304" w:rsidR="009F3862" w:rsidRPr="002B2AA0" w:rsidRDefault="009F3862" w:rsidP="003E77F3">
      <w:pPr>
        <w:spacing w:after="0"/>
        <w:rPr>
          <w:rFonts w:ascii="Cambria" w:hAnsi="Cambria"/>
        </w:rPr>
      </w:pPr>
    </w:p>
    <w:p w14:paraId="6A0FE24D" w14:textId="7E699BEE" w:rsidR="009F3862" w:rsidRPr="002B2AA0" w:rsidRDefault="009F3862" w:rsidP="003E77F3">
      <w:pPr>
        <w:spacing w:after="0"/>
        <w:rPr>
          <w:rFonts w:ascii="Cambria" w:hAnsi="Cambria"/>
        </w:rPr>
      </w:pPr>
    </w:p>
    <w:p w14:paraId="348FF23F" w14:textId="114D2D3C" w:rsidR="009F3862" w:rsidRPr="002B2AA0" w:rsidRDefault="009F3862" w:rsidP="003E77F3">
      <w:pPr>
        <w:spacing w:after="0"/>
        <w:rPr>
          <w:rFonts w:ascii="Cambria" w:hAnsi="Cambria"/>
        </w:rPr>
      </w:pPr>
    </w:p>
    <w:p w14:paraId="58CD222C" w14:textId="50A4E7D9" w:rsidR="009F3862" w:rsidRPr="002B2AA0" w:rsidRDefault="009F3862" w:rsidP="003E77F3">
      <w:pPr>
        <w:spacing w:after="0"/>
        <w:rPr>
          <w:rFonts w:ascii="Cambria" w:hAnsi="Cambria"/>
        </w:rPr>
      </w:pPr>
    </w:p>
    <w:p w14:paraId="615F3EF4" w14:textId="1DFF0FA7" w:rsidR="009F3862" w:rsidRPr="002B2AA0" w:rsidRDefault="009F3862" w:rsidP="003E77F3">
      <w:pPr>
        <w:spacing w:after="0"/>
        <w:rPr>
          <w:rFonts w:ascii="Cambria" w:hAnsi="Cambria"/>
        </w:rPr>
      </w:pPr>
    </w:p>
    <w:p w14:paraId="5D083A8E" w14:textId="1FBB3EF7" w:rsidR="009F3862" w:rsidRPr="002B2AA0" w:rsidRDefault="009F3862" w:rsidP="003E77F3">
      <w:pPr>
        <w:spacing w:after="0"/>
        <w:rPr>
          <w:rFonts w:ascii="Cambria" w:hAnsi="Cambria"/>
        </w:rPr>
      </w:pPr>
    </w:p>
    <w:p w14:paraId="6D6B5A5A" w14:textId="4A76199E" w:rsidR="009F3862" w:rsidRPr="002B2AA0" w:rsidRDefault="009F3862" w:rsidP="003E77F3">
      <w:pPr>
        <w:spacing w:after="0"/>
        <w:rPr>
          <w:rFonts w:ascii="Cambria" w:hAnsi="Cambria"/>
        </w:rPr>
      </w:pPr>
    </w:p>
    <w:p w14:paraId="2FC1A408" w14:textId="32BE9462" w:rsidR="009F3862" w:rsidRPr="002B2AA0" w:rsidRDefault="009F3862" w:rsidP="003E77F3">
      <w:pPr>
        <w:spacing w:after="0"/>
        <w:rPr>
          <w:rFonts w:ascii="Cambria" w:hAnsi="Cambria"/>
        </w:rPr>
      </w:pPr>
    </w:p>
    <w:p w14:paraId="544F4665" w14:textId="004C85E2" w:rsidR="009F3862" w:rsidRPr="002B2AA0" w:rsidRDefault="009F3862" w:rsidP="003E77F3">
      <w:pPr>
        <w:spacing w:after="0"/>
        <w:rPr>
          <w:rFonts w:ascii="Cambria" w:hAnsi="Cambria"/>
        </w:rPr>
      </w:pPr>
    </w:p>
    <w:p w14:paraId="12B8E5E1" w14:textId="5A5793BF" w:rsidR="009F3862" w:rsidRPr="002B2AA0" w:rsidRDefault="009F3862" w:rsidP="003E77F3">
      <w:pPr>
        <w:spacing w:after="0"/>
        <w:rPr>
          <w:rFonts w:ascii="Cambria" w:hAnsi="Cambria"/>
        </w:rPr>
      </w:pPr>
    </w:p>
    <w:p w14:paraId="6CCBF8A2" w14:textId="680E40A2" w:rsidR="009F3862" w:rsidRPr="002B2AA0" w:rsidRDefault="009F3862" w:rsidP="003E77F3">
      <w:pPr>
        <w:spacing w:after="0"/>
        <w:rPr>
          <w:rFonts w:ascii="Cambria" w:hAnsi="Cambria"/>
        </w:rPr>
      </w:pPr>
    </w:p>
    <w:p w14:paraId="1E71D831" w14:textId="77777777" w:rsidR="009F3862" w:rsidRPr="002B2AA0" w:rsidRDefault="009F3862" w:rsidP="003E77F3">
      <w:pPr>
        <w:spacing w:after="0"/>
        <w:rPr>
          <w:rFonts w:ascii="Cambria" w:hAnsi="Cambria"/>
        </w:rPr>
      </w:pPr>
    </w:p>
    <w:p w14:paraId="4699DDE3" w14:textId="17E22C7A" w:rsidR="000D56F6" w:rsidRPr="002B2AA0" w:rsidRDefault="000D56F6" w:rsidP="003E77F3">
      <w:pPr>
        <w:spacing w:after="0"/>
        <w:rPr>
          <w:rFonts w:ascii="Cambria" w:hAnsi="Cambria"/>
        </w:rPr>
      </w:pPr>
    </w:p>
    <w:p w14:paraId="5AD10415" w14:textId="1F968993" w:rsidR="000D56F6" w:rsidRPr="002B2AA0" w:rsidRDefault="000D56F6" w:rsidP="003E77F3">
      <w:pPr>
        <w:spacing w:after="0"/>
        <w:rPr>
          <w:rFonts w:ascii="Cambria" w:hAnsi="Cambria"/>
        </w:rPr>
      </w:pPr>
    </w:p>
    <w:p w14:paraId="6D288E1D" w14:textId="47E0D3D7" w:rsidR="000D56F6" w:rsidRPr="002B2AA0" w:rsidRDefault="000D56F6" w:rsidP="003E77F3">
      <w:pPr>
        <w:spacing w:after="0"/>
        <w:rPr>
          <w:rFonts w:ascii="Cambria" w:hAnsi="Cambria"/>
        </w:rPr>
      </w:pPr>
    </w:p>
    <w:p w14:paraId="172BA8C3" w14:textId="00F60986" w:rsidR="000D56F6" w:rsidRPr="002B2AA0" w:rsidRDefault="000D56F6" w:rsidP="003E77F3">
      <w:pPr>
        <w:spacing w:after="0"/>
        <w:rPr>
          <w:rFonts w:ascii="Cambria" w:hAnsi="Cambria"/>
        </w:rPr>
      </w:pPr>
    </w:p>
    <w:p w14:paraId="79D8147F" w14:textId="71973C87" w:rsidR="000D56F6" w:rsidRPr="002B2AA0" w:rsidRDefault="000D56F6" w:rsidP="003E77F3">
      <w:pPr>
        <w:spacing w:after="0"/>
        <w:rPr>
          <w:rFonts w:ascii="Cambria" w:hAnsi="Cambria"/>
        </w:rPr>
      </w:pPr>
    </w:p>
    <w:p w14:paraId="51F9FE1A" w14:textId="7E961D68" w:rsidR="000D56F6" w:rsidRPr="002B2AA0" w:rsidRDefault="000D56F6" w:rsidP="003E77F3">
      <w:pPr>
        <w:spacing w:after="0"/>
        <w:rPr>
          <w:rFonts w:ascii="Cambria" w:hAnsi="Cambria"/>
        </w:rPr>
      </w:pPr>
    </w:p>
    <w:p w14:paraId="5FF3298C" w14:textId="0E8DC8FD" w:rsidR="000D56F6" w:rsidRPr="002B2AA0" w:rsidRDefault="000D56F6" w:rsidP="003E77F3">
      <w:pPr>
        <w:spacing w:after="0"/>
        <w:rPr>
          <w:rFonts w:ascii="Cambria" w:hAnsi="Cambria"/>
        </w:rPr>
      </w:pPr>
    </w:p>
    <w:p w14:paraId="70643F50" w14:textId="50DDE31D" w:rsidR="000D56F6" w:rsidRPr="002B2AA0" w:rsidRDefault="000D56F6" w:rsidP="003E77F3">
      <w:pPr>
        <w:spacing w:after="0"/>
        <w:rPr>
          <w:rFonts w:ascii="Cambria" w:hAnsi="Cambria"/>
        </w:rPr>
      </w:pPr>
    </w:p>
    <w:p w14:paraId="6B5E9D88" w14:textId="27CE6DFB" w:rsidR="000D56F6" w:rsidRPr="002B2AA0" w:rsidRDefault="000D56F6" w:rsidP="003E77F3">
      <w:pPr>
        <w:spacing w:after="0"/>
        <w:rPr>
          <w:rFonts w:ascii="Cambria" w:hAnsi="Cambria"/>
        </w:rPr>
      </w:pPr>
    </w:p>
    <w:p w14:paraId="355E0E86" w14:textId="74600A6F" w:rsidR="000D56F6" w:rsidRPr="002B2AA0" w:rsidRDefault="000D56F6" w:rsidP="003E77F3">
      <w:pPr>
        <w:spacing w:after="0"/>
        <w:rPr>
          <w:rFonts w:ascii="Cambria" w:hAnsi="Cambria"/>
        </w:rPr>
      </w:pPr>
    </w:p>
    <w:p w14:paraId="237D49C6" w14:textId="1883F7BD" w:rsidR="000D56F6" w:rsidRPr="002B2AA0" w:rsidRDefault="000D56F6" w:rsidP="003E77F3">
      <w:pPr>
        <w:spacing w:after="0"/>
        <w:rPr>
          <w:rFonts w:ascii="Cambria" w:hAnsi="Cambria"/>
        </w:rPr>
      </w:pPr>
    </w:p>
    <w:p w14:paraId="19C3DA17" w14:textId="09926253" w:rsidR="000D56F6" w:rsidRPr="002B2AA0" w:rsidRDefault="000D56F6" w:rsidP="003E77F3">
      <w:pPr>
        <w:spacing w:after="0"/>
        <w:rPr>
          <w:rFonts w:ascii="Cambria" w:hAnsi="Cambria"/>
        </w:rPr>
      </w:pPr>
    </w:p>
    <w:p w14:paraId="4AA23E57" w14:textId="4D3E67AA" w:rsidR="003E77F3" w:rsidRPr="002B2AA0" w:rsidRDefault="003E77F3" w:rsidP="003E77F3">
      <w:pPr>
        <w:spacing w:after="0"/>
        <w:rPr>
          <w:rFonts w:ascii="Cambria" w:hAnsi="Cambria"/>
        </w:rPr>
      </w:pPr>
    </w:p>
    <w:p w14:paraId="11D64F8B" w14:textId="77777777" w:rsidR="003E77F3" w:rsidRPr="002B2AA0" w:rsidRDefault="003E77F3" w:rsidP="003E77F3">
      <w:pPr>
        <w:spacing w:after="0"/>
        <w:rPr>
          <w:rFonts w:ascii="Cambria" w:hAnsi="Cambria"/>
        </w:rPr>
      </w:pPr>
    </w:p>
    <w:p w14:paraId="695E6A0C" w14:textId="415D9878" w:rsidR="0062455D" w:rsidRPr="002B2AA0" w:rsidRDefault="00595F29">
      <w:pPr>
        <w:rPr>
          <w:rFonts w:ascii="Cambria" w:hAnsi="Cambria"/>
          <w:color w:val="A6A6A6" w:themeColor="background1" w:themeShade="A6"/>
        </w:rPr>
      </w:pPr>
      <w:r w:rsidRPr="002B2AA0">
        <w:rPr>
          <w:rFonts w:ascii="Cambria" w:hAnsi="Cambria"/>
          <w:color w:val="A6A6A6" w:themeColor="background1" w:themeShade="A6"/>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sectPr w:rsidR="0062455D" w:rsidRPr="002B2A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5CFA8" w14:textId="77777777" w:rsidR="0099331B" w:rsidRDefault="0099331B" w:rsidP="00C81B41">
      <w:pPr>
        <w:spacing w:after="0" w:line="240" w:lineRule="auto"/>
      </w:pPr>
      <w:r>
        <w:separator/>
      </w:r>
    </w:p>
  </w:endnote>
  <w:endnote w:type="continuationSeparator" w:id="0">
    <w:p w14:paraId="1426BDD8" w14:textId="77777777" w:rsidR="0099331B" w:rsidRDefault="0099331B" w:rsidP="00C81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44AD3" w14:textId="77777777" w:rsidR="0099331B" w:rsidRDefault="0099331B" w:rsidP="00C81B41">
      <w:pPr>
        <w:spacing w:after="0" w:line="240" w:lineRule="auto"/>
      </w:pPr>
      <w:r>
        <w:separator/>
      </w:r>
    </w:p>
  </w:footnote>
  <w:footnote w:type="continuationSeparator" w:id="0">
    <w:p w14:paraId="40D1A5B4" w14:textId="77777777" w:rsidR="0099331B" w:rsidRDefault="0099331B" w:rsidP="00C81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50DFC"/>
    <w:multiLevelType w:val="hybridMultilevel"/>
    <w:tmpl w:val="C3B6A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41"/>
    <w:rsid w:val="000051D8"/>
    <w:rsid w:val="00010998"/>
    <w:rsid w:val="000238DB"/>
    <w:rsid w:val="0002575F"/>
    <w:rsid w:val="00034825"/>
    <w:rsid w:val="00035376"/>
    <w:rsid w:val="00055441"/>
    <w:rsid w:val="000C4DB2"/>
    <w:rsid w:val="000D56F6"/>
    <w:rsid w:val="001061FB"/>
    <w:rsid w:val="00130E10"/>
    <w:rsid w:val="001456E5"/>
    <w:rsid w:val="00162351"/>
    <w:rsid w:val="001C7811"/>
    <w:rsid w:val="002163CC"/>
    <w:rsid w:val="0021778D"/>
    <w:rsid w:val="00217EB8"/>
    <w:rsid w:val="0025705D"/>
    <w:rsid w:val="002913AF"/>
    <w:rsid w:val="00297302"/>
    <w:rsid w:val="002A0D44"/>
    <w:rsid w:val="002A3C63"/>
    <w:rsid w:val="002A6F90"/>
    <w:rsid w:val="002B2AA0"/>
    <w:rsid w:val="002B5166"/>
    <w:rsid w:val="002D3022"/>
    <w:rsid w:val="002D7411"/>
    <w:rsid w:val="002E6D10"/>
    <w:rsid w:val="00307537"/>
    <w:rsid w:val="00312BD7"/>
    <w:rsid w:val="00316A29"/>
    <w:rsid w:val="00320212"/>
    <w:rsid w:val="00322A90"/>
    <w:rsid w:val="003311A7"/>
    <w:rsid w:val="00341304"/>
    <w:rsid w:val="00356067"/>
    <w:rsid w:val="003B788E"/>
    <w:rsid w:val="003D0607"/>
    <w:rsid w:val="003E555A"/>
    <w:rsid w:val="003E77F3"/>
    <w:rsid w:val="004242EE"/>
    <w:rsid w:val="00432FF9"/>
    <w:rsid w:val="00434271"/>
    <w:rsid w:val="004474EA"/>
    <w:rsid w:val="00451199"/>
    <w:rsid w:val="004615C1"/>
    <w:rsid w:val="004923AA"/>
    <w:rsid w:val="004B4AE9"/>
    <w:rsid w:val="004B55B0"/>
    <w:rsid w:val="004C2E5C"/>
    <w:rsid w:val="004D252B"/>
    <w:rsid w:val="004D60C3"/>
    <w:rsid w:val="004E186C"/>
    <w:rsid w:val="004E24DB"/>
    <w:rsid w:val="004F6B0F"/>
    <w:rsid w:val="0055747A"/>
    <w:rsid w:val="005602E8"/>
    <w:rsid w:val="00560782"/>
    <w:rsid w:val="00593FF4"/>
    <w:rsid w:val="00595F29"/>
    <w:rsid w:val="005A3BA7"/>
    <w:rsid w:val="005A7CB2"/>
    <w:rsid w:val="005B11ED"/>
    <w:rsid w:val="005E3376"/>
    <w:rsid w:val="005F3569"/>
    <w:rsid w:val="00600493"/>
    <w:rsid w:val="006205AB"/>
    <w:rsid w:val="0062455D"/>
    <w:rsid w:val="006452B2"/>
    <w:rsid w:val="00655242"/>
    <w:rsid w:val="00657CF2"/>
    <w:rsid w:val="00660E7E"/>
    <w:rsid w:val="006771BF"/>
    <w:rsid w:val="00694B7E"/>
    <w:rsid w:val="006B0B51"/>
    <w:rsid w:val="006B58A3"/>
    <w:rsid w:val="006C5887"/>
    <w:rsid w:val="006D5F29"/>
    <w:rsid w:val="006E04F2"/>
    <w:rsid w:val="006F1E7B"/>
    <w:rsid w:val="00747920"/>
    <w:rsid w:val="00770A98"/>
    <w:rsid w:val="007A3169"/>
    <w:rsid w:val="007A7B46"/>
    <w:rsid w:val="007C4787"/>
    <w:rsid w:val="00833732"/>
    <w:rsid w:val="00834293"/>
    <w:rsid w:val="008425B2"/>
    <w:rsid w:val="00854084"/>
    <w:rsid w:val="00865C56"/>
    <w:rsid w:val="00896543"/>
    <w:rsid w:val="008A5B9C"/>
    <w:rsid w:val="008B06E4"/>
    <w:rsid w:val="008B6A95"/>
    <w:rsid w:val="008C0347"/>
    <w:rsid w:val="008D6457"/>
    <w:rsid w:val="008F6336"/>
    <w:rsid w:val="0091318A"/>
    <w:rsid w:val="009462A1"/>
    <w:rsid w:val="00947534"/>
    <w:rsid w:val="00951A32"/>
    <w:rsid w:val="009547FE"/>
    <w:rsid w:val="00977EFE"/>
    <w:rsid w:val="0099331B"/>
    <w:rsid w:val="009A16A1"/>
    <w:rsid w:val="009A2CB5"/>
    <w:rsid w:val="009D3246"/>
    <w:rsid w:val="009D390C"/>
    <w:rsid w:val="009D3D20"/>
    <w:rsid w:val="009F0A7E"/>
    <w:rsid w:val="009F3862"/>
    <w:rsid w:val="00A077A1"/>
    <w:rsid w:val="00A116FA"/>
    <w:rsid w:val="00A376C1"/>
    <w:rsid w:val="00A4034C"/>
    <w:rsid w:val="00A41FB9"/>
    <w:rsid w:val="00A446F6"/>
    <w:rsid w:val="00A62B7B"/>
    <w:rsid w:val="00A75245"/>
    <w:rsid w:val="00AB5685"/>
    <w:rsid w:val="00AC237B"/>
    <w:rsid w:val="00AF6EDE"/>
    <w:rsid w:val="00B301CF"/>
    <w:rsid w:val="00B323B4"/>
    <w:rsid w:val="00B66E37"/>
    <w:rsid w:val="00B71D61"/>
    <w:rsid w:val="00B76870"/>
    <w:rsid w:val="00B778D5"/>
    <w:rsid w:val="00B85113"/>
    <w:rsid w:val="00BA30CC"/>
    <w:rsid w:val="00BB3E66"/>
    <w:rsid w:val="00BC5949"/>
    <w:rsid w:val="00BD2DDF"/>
    <w:rsid w:val="00BD3065"/>
    <w:rsid w:val="00BF0AED"/>
    <w:rsid w:val="00BF31D6"/>
    <w:rsid w:val="00C02205"/>
    <w:rsid w:val="00C078DD"/>
    <w:rsid w:val="00C25885"/>
    <w:rsid w:val="00C63E37"/>
    <w:rsid w:val="00C6622F"/>
    <w:rsid w:val="00C81B41"/>
    <w:rsid w:val="00C9607F"/>
    <w:rsid w:val="00CE07E4"/>
    <w:rsid w:val="00CE2204"/>
    <w:rsid w:val="00CF0B2E"/>
    <w:rsid w:val="00CF0F7C"/>
    <w:rsid w:val="00CF7FE6"/>
    <w:rsid w:val="00D0255B"/>
    <w:rsid w:val="00D30C9A"/>
    <w:rsid w:val="00D31FEA"/>
    <w:rsid w:val="00D62502"/>
    <w:rsid w:val="00D82A39"/>
    <w:rsid w:val="00DB4F1B"/>
    <w:rsid w:val="00DC1791"/>
    <w:rsid w:val="00DF206E"/>
    <w:rsid w:val="00E10C01"/>
    <w:rsid w:val="00E2532B"/>
    <w:rsid w:val="00E50B9A"/>
    <w:rsid w:val="00E533AE"/>
    <w:rsid w:val="00E54C20"/>
    <w:rsid w:val="00E6691F"/>
    <w:rsid w:val="00E70813"/>
    <w:rsid w:val="00E9494E"/>
    <w:rsid w:val="00EA0EF6"/>
    <w:rsid w:val="00EB2F1F"/>
    <w:rsid w:val="00EB6246"/>
    <w:rsid w:val="00EC30E0"/>
    <w:rsid w:val="00F364C2"/>
    <w:rsid w:val="00F62885"/>
    <w:rsid w:val="00F7459F"/>
    <w:rsid w:val="00F831F3"/>
    <w:rsid w:val="00F94921"/>
    <w:rsid w:val="00FB1D7B"/>
    <w:rsid w:val="00FB523E"/>
    <w:rsid w:val="00FD5AE0"/>
    <w:rsid w:val="00FF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C13B"/>
  <w15:chartTrackingRefBased/>
  <w15:docId w15:val="{06B96806-0A24-4F3F-B6E9-F1E63AEA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1B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B41"/>
    <w:rPr>
      <w:sz w:val="20"/>
      <w:szCs w:val="20"/>
    </w:rPr>
  </w:style>
  <w:style w:type="character" w:styleId="FootnoteReference">
    <w:name w:val="footnote reference"/>
    <w:basedOn w:val="DefaultParagraphFont"/>
    <w:uiPriority w:val="99"/>
    <w:semiHidden/>
    <w:unhideWhenUsed/>
    <w:rsid w:val="00C81B41"/>
    <w:rPr>
      <w:vertAlign w:val="superscript"/>
    </w:rPr>
  </w:style>
  <w:style w:type="table" w:styleId="TableGrid">
    <w:name w:val="Table Grid"/>
    <w:basedOn w:val="TableNormal"/>
    <w:uiPriority w:val="39"/>
    <w:rsid w:val="00F62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6C1"/>
    <w:pPr>
      <w:ind w:left="720"/>
      <w:contextualSpacing/>
    </w:pPr>
  </w:style>
  <w:style w:type="character" w:styleId="Hyperlink">
    <w:name w:val="Hyperlink"/>
    <w:basedOn w:val="DefaultParagraphFont"/>
    <w:uiPriority w:val="99"/>
    <w:unhideWhenUsed/>
    <w:rsid w:val="00A446F6"/>
    <w:rPr>
      <w:color w:val="0563C1" w:themeColor="hyperlink"/>
      <w:u w:val="single"/>
    </w:rPr>
  </w:style>
  <w:style w:type="character" w:styleId="UnresolvedMention">
    <w:name w:val="Unresolved Mention"/>
    <w:basedOn w:val="DefaultParagraphFont"/>
    <w:uiPriority w:val="99"/>
    <w:semiHidden/>
    <w:unhideWhenUsed/>
    <w:rsid w:val="00A44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888197">
      <w:bodyDiv w:val="1"/>
      <w:marLeft w:val="0"/>
      <w:marRight w:val="0"/>
      <w:marTop w:val="0"/>
      <w:marBottom w:val="0"/>
      <w:divBdr>
        <w:top w:val="none" w:sz="0" w:space="0" w:color="auto"/>
        <w:left w:val="none" w:sz="0" w:space="0" w:color="auto"/>
        <w:bottom w:val="none" w:sz="0" w:space="0" w:color="auto"/>
        <w:right w:val="none" w:sz="0" w:space="0" w:color="auto"/>
      </w:divBdr>
    </w:div>
    <w:div w:id="818886069">
      <w:bodyDiv w:val="1"/>
      <w:marLeft w:val="0"/>
      <w:marRight w:val="0"/>
      <w:marTop w:val="0"/>
      <w:marBottom w:val="0"/>
      <w:divBdr>
        <w:top w:val="none" w:sz="0" w:space="0" w:color="auto"/>
        <w:left w:val="none" w:sz="0" w:space="0" w:color="auto"/>
        <w:bottom w:val="none" w:sz="0" w:space="0" w:color="auto"/>
        <w:right w:val="none" w:sz="0" w:space="0" w:color="auto"/>
      </w:divBdr>
    </w:div>
    <w:div w:id="1115367314">
      <w:bodyDiv w:val="1"/>
      <w:marLeft w:val="0"/>
      <w:marRight w:val="0"/>
      <w:marTop w:val="0"/>
      <w:marBottom w:val="0"/>
      <w:divBdr>
        <w:top w:val="none" w:sz="0" w:space="0" w:color="auto"/>
        <w:left w:val="none" w:sz="0" w:space="0" w:color="auto"/>
        <w:bottom w:val="none" w:sz="0" w:space="0" w:color="auto"/>
        <w:right w:val="none" w:sz="0" w:space="0" w:color="auto"/>
      </w:divBdr>
    </w:div>
    <w:div w:id="1282878101">
      <w:bodyDiv w:val="1"/>
      <w:marLeft w:val="0"/>
      <w:marRight w:val="0"/>
      <w:marTop w:val="0"/>
      <w:marBottom w:val="0"/>
      <w:divBdr>
        <w:top w:val="none" w:sz="0" w:space="0" w:color="auto"/>
        <w:left w:val="none" w:sz="0" w:space="0" w:color="auto"/>
        <w:bottom w:val="none" w:sz="0" w:space="0" w:color="auto"/>
        <w:right w:val="none" w:sz="0" w:space="0" w:color="auto"/>
      </w:divBdr>
    </w:div>
    <w:div w:id="1463115822">
      <w:bodyDiv w:val="1"/>
      <w:marLeft w:val="0"/>
      <w:marRight w:val="0"/>
      <w:marTop w:val="0"/>
      <w:marBottom w:val="0"/>
      <w:divBdr>
        <w:top w:val="none" w:sz="0" w:space="0" w:color="auto"/>
        <w:left w:val="none" w:sz="0" w:space="0" w:color="auto"/>
        <w:bottom w:val="none" w:sz="0" w:space="0" w:color="auto"/>
        <w:right w:val="none" w:sz="0" w:space="0" w:color="auto"/>
      </w:divBdr>
    </w:div>
    <w:div w:id="1516454252">
      <w:bodyDiv w:val="1"/>
      <w:marLeft w:val="0"/>
      <w:marRight w:val="0"/>
      <w:marTop w:val="0"/>
      <w:marBottom w:val="0"/>
      <w:divBdr>
        <w:top w:val="none" w:sz="0" w:space="0" w:color="auto"/>
        <w:left w:val="none" w:sz="0" w:space="0" w:color="auto"/>
        <w:bottom w:val="none" w:sz="0" w:space="0" w:color="auto"/>
        <w:right w:val="none" w:sz="0" w:space="0" w:color="auto"/>
      </w:divBdr>
    </w:div>
    <w:div w:id="1547720458">
      <w:bodyDiv w:val="1"/>
      <w:marLeft w:val="0"/>
      <w:marRight w:val="0"/>
      <w:marTop w:val="0"/>
      <w:marBottom w:val="0"/>
      <w:divBdr>
        <w:top w:val="none" w:sz="0" w:space="0" w:color="auto"/>
        <w:left w:val="none" w:sz="0" w:space="0" w:color="auto"/>
        <w:bottom w:val="none" w:sz="0" w:space="0" w:color="auto"/>
        <w:right w:val="none" w:sz="0" w:space="0" w:color="auto"/>
      </w:divBdr>
    </w:div>
    <w:div w:id="1716392280">
      <w:bodyDiv w:val="1"/>
      <w:marLeft w:val="0"/>
      <w:marRight w:val="0"/>
      <w:marTop w:val="0"/>
      <w:marBottom w:val="0"/>
      <w:divBdr>
        <w:top w:val="none" w:sz="0" w:space="0" w:color="auto"/>
        <w:left w:val="none" w:sz="0" w:space="0" w:color="auto"/>
        <w:bottom w:val="none" w:sz="0" w:space="0" w:color="auto"/>
        <w:right w:val="none" w:sz="0" w:space="0" w:color="auto"/>
      </w:divBdr>
    </w:div>
    <w:div w:id="1771780432">
      <w:bodyDiv w:val="1"/>
      <w:marLeft w:val="0"/>
      <w:marRight w:val="0"/>
      <w:marTop w:val="0"/>
      <w:marBottom w:val="0"/>
      <w:divBdr>
        <w:top w:val="none" w:sz="0" w:space="0" w:color="auto"/>
        <w:left w:val="none" w:sz="0" w:space="0" w:color="auto"/>
        <w:bottom w:val="none" w:sz="0" w:space="0" w:color="auto"/>
        <w:right w:val="none" w:sz="0" w:space="0" w:color="auto"/>
      </w:divBdr>
    </w:div>
    <w:div w:id="2052336676">
      <w:bodyDiv w:val="1"/>
      <w:marLeft w:val="0"/>
      <w:marRight w:val="0"/>
      <w:marTop w:val="0"/>
      <w:marBottom w:val="0"/>
      <w:divBdr>
        <w:top w:val="none" w:sz="0" w:space="0" w:color="auto"/>
        <w:left w:val="none" w:sz="0" w:space="0" w:color="auto"/>
        <w:bottom w:val="none" w:sz="0" w:space="0" w:color="auto"/>
        <w:right w:val="none" w:sz="0" w:space="0" w:color="auto"/>
      </w:divBdr>
    </w:div>
    <w:div w:id="206860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chi.mp/fdfd41d1d2e0/cattle-market-notes-weekly-18838644?e=35c55ad19b"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5CD7D-6B5A-4868-A9AA-A8C3CF4F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Anderson</dc:creator>
  <cp:keywords/>
  <dc:description/>
  <cp:lastModifiedBy>Mary F Hightower</cp:lastModifiedBy>
  <cp:revision>2</cp:revision>
  <cp:lastPrinted>2020-10-08T19:46:00Z</cp:lastPrinted>
  <dcterms:created xsi:type="dcterms:W3CDTF">2020-12-04T21:24:00Z</dcterms:created>
  <dcterms:modified xsi:type="dcterms:W3CDTF">2020-12-04T21:24:00Z</dcterms:modified>
</cp:coreProperties>
</file>