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83" w:rsidRDefault="00EA130D" w:rsidP="00062C83">
      <w:pPr>
        <w:shd w:val="clear" w:color="auto" w:fill="FFFFFF"/>
        <w:spacing w:after="0" w:line="240" w:lineRule="auto"/>
        <w:jc w:val="center"/>
        <w:outlineLvl w:val="2"/>
        <w:rPr>
          <w:rFonts w:ascii="Georgia" w:eastAsia="Times New Roman" w:hAnsi="Georgia" w:cs="Arial"/>
          <w:color w:val="000000"/>
          <w:spacing w:val="15"/>
          <w:sz w:val="28"/>
          <w:szCs w:val="28"/>
          <w:lang w:val="en"/>
        </w:rPr>
      </w:pPr>
      <w:bookmarkStart w:id="0" w:name="Interpreted"/>
      <w:bookmarkEnd w:id="0"/>
      <w:r>
        <w:rPr>
          <w:noProof/>
        </w:rPr>
        <mc:AlternateContent>
          <mc:Choice Requires="wps">
            <w:drawing>
              <wp:anchor distT="0" distB="0" distL="114300" distR="114300" simplePos="0" relativeHeight="251660288" behindDoc="0" locked="0" layoutInCell="1" allowOverlap="1" wp14:anchorId="18DC738F" wp14:editId="5C49E56D">
                <wp:simplePos x="0" y="0"/>
                <wp:positionH relativeFrom="column">
                  <wp:posOffset>228600</wp:posOffset>
                </wp:positionH>
                <wp:positionV relativeFrom="paragraph">
                  <wp:posOffset>-379845</wp:posOffset>
                </wp:positionV>
                <wp:extent cx="1607820" cy="967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607820" cy="96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30D" w:rsidRDefault="00EA130D">
                            <w:r>
                              <w:rPr>
                                <w:noProof/>
                              </w:rPr>
                              <w:drawing>
                                <wp:inline distT="0" distB="0" distL="0" distR="0" wp14:anchorId="6A6FF4E4" wp14:editId="6412C969">
                                  <wp:extent cx="1424940" cy="922020"/>
                                  <wp:effectExtent l="0" t="0" r="3810" b="0"/>
                                  <wp:docPr id="5" name="Picture 5" descr="C:\Documents\Keys to Aging\Final Keys\keys (1).jpg"/>
                                  <wp:cNvGraphicFramePr/>
                                  <a:graphic xmlns:a="http://schemas.openxmlformats.org/drawingml/2006/main">
                                    <a:graphicData uri="http://schemas.openxmlformats.org/drawingml/2006/picture">
                                      <pic:pic xmlns:pic="http://schemas.openxmlformats.org/drawingml/2006/picture">
                                        <pic:nvPicPr>
                                          <pic:cNvPr id="3" name="Picture 3" descr="C:\Documents\Keys to Aging\Final Keys\keys (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114" cy="9234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9.9pt;width:126.6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" fillcolor="white [3201]" stroked="f" strokeweight=".5pt">
                <v:textbox>
                  <w:txbxContent>
                    <w:p w:rsidR="00EA130D" w:rsidRDefault="00EA130D">
                      <w:r>
                        <w:rPr>
                          <w:noProof/>
                        </w:rPr>
                        <w:drawing>
                          <wp:inline distT="0" distB="0" distL="0" distR="0" wp14:anchorId="6A6FF4E4" wp14:editId="6412C969">
                            <wp:extent cx="1424940" cy="922020"/>
                            <wp:effectExtent l="0" t="0" r="3810" b="0"/>
                            <wp:docPr id="5" name="Picture 5" descr="C:\Documents\Keys to Aging\Final Keys\keys (1).jpg"/>
                            <wp:cNvGraphicFramePr/>
                            <a:graphic xmlns:a="http://schemas.openxmlformats.org/drawingml/2006/main">
                              <a:graphicData uri="http://schemas.openxmlformats.org/drawingml/2006/picture">
                                <pic:pic xmlns:pic="http://schemas.openxmlformats.org/drawingml/2006/picture">
                                  <pic:nvPicPr>
                                    <pic:cNvPr id="3" name="Picture 3" descr="C:\Documents\Keys to Aging\Final Keys\keys (1).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7114" cy="92342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C8FC5C" wp14:editId="0886078D">
                <wp:simplePos x="0" y="0"/>
                <wp:positionH relativeFrom="column">
                  <wp:posOffset>1749425</wp:posOffset>
                </wp:positionH>
                <wp:positionV relativeFrom="paragraph">
                  <wp:posOffset>-31750</wp:posOffset>
                </wp:positionV>
                <wp:extent cx="3495675" cy="457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95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2C83" w:rsidRPr="00062C83" w:rsidRDefault="00062C83" w:rsidP="00062C83">
                            <w:pPr>
                              <w:shd w:val="clear" w:color="auto" w:fill="FFFFFF"/>
                              <w:spacing w:after="0" w:line="240" w:lineRule="auto"/>
                              <w:jc w:val="center"/>
                              <w:outlineLvl w:val="2"/>
                              <w:rPr>
                                <w:rFonts w:ascii="Georgia" w:eastAsia="Times New Roman" w:hAnsi="Georgia" w:cs="Arial"/>
                                <w:b/>
                                <w:color w:val="000000"/>
                                <w:spacing w:val="15"/>
                                <w:sz w:val="28"/>
                                <w:szCs w:val="28"/>
                                <w:lang w:val="en"/>
                              </w:rPr>
                            </w:pPr>
                            <w:r w:rsidRPr="00062C83">
                              <w:rPr>
                                <w:rFonts w:ascii="Georgia" w:eastAsia="Times New Roman" w:hAnsi="Georgia" w:cs="Arial"/>
                                <w:b/>
                                <w:color w:val="000000"/>
                                <w:spacing w:val="15"/>
                                <w:sz w:val="28"/>
                                <w:szCs w:val="28"/>
                                <w:lang w:val="en"/>
                              </w:rPr>
                              <w:t>Keys to Embracing Aging:</w:t>
                            </w:r>
                          </w:p>
                          <w:p w:rsidR="00062C83" w:rsidRPr="00062C83" w:rsidRDefault="00062C83" w:rsidP="00062C83">
                            <w:pPr>
                              <w:jc w:val="center"/>
                              <w:rPr>
                                <w:b/>
                              </w:rPr>
                            </w:pPr>
                            <w:r w:rsidRPr="00062C83">
                              <w:rPr>
                                <w:rFonts w:ascii="Georgia" w:eastAsia="Times New Roman" w:hAnsi="Georgia" w:cs="Arial"/>
                                <w:b/>
                                <w:color w:val="000000"/>
                                <w:spacing w:val="15"/>
                                <w:sz w:val="28"/>
                                <w:szCs w:val="28"/>
                                <w:lang w:val="en"/>
                              </w:rPr>
                              <w:t>Know Your Health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137.75pt;margin-top:-2.5pt;width:275.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" fillcolor="white [3201]" stroked="f" strokeweight=".5pt">
                <v:textbox>
                  <w:txbxContent>
                    <w:p w:rsidR="00062C83" w:rsidRPr="00062C83" w:rsidRDefault="00062C83" w:rsidP="00062C83">
                      <w:pPr>
                        <w:shd w:val="clear" w:color="auto" w:fill="FFFFFF"/>
                        <w:spacing w:after="0" w:line="240" w:lineRule="auto"/>
                        <w:jc w:val="center"/>
                        <w:outlineLvl w:val="2"/>
                        <w:rPr>
                          <w:rFonts w:ascii="Georgia" w:eastAsia="Times New Roman" w:hAnsi="Georgia" w:cs="Arial"/>
                          <w:b/>
                          <w:color w:val="000000"/>
                          <w:spacing w:val="15"/>
                          <w:sz w:val="28"/>
                          <w:szCs w:val="28"/>
                          <w:lang w:val="en"/>
                        </w:rPr>
                      </w:pPr>
                      <w:r w:rsidRPr="00062C83">
                        <w:rPr>
                          <w:rFonts w:ascii="Georgia" w:eastAsia="Times New Roman" w:hAnsi="Georgia" w:cs="Arial"/>
                          <w:b/>
                          <w:color w:val="000000"/>
                          <w:spacing w:val="15"/>
                          <w:sz w:val="28"/>
                          <w:szCs w:val="28"/>
                          <w:lang w:val="en"/>
                        </w:rPr>
                        <w:t>Keys to Embracing Aging:</w:t>
                      </w:r>
                    </w:p>
                    <w:p w:rsidR="00062C83" w:rsidRPr="00062C83" w:rsidRDefault="00062C83" w:rsidP="00062C83">
                      <w:pPr>
                        <w:jc w:val="center"/>
                        <w:rPr>
                          <w:b/>
                        </w:rPr>
                      </w:pPr>
                      <w:r w:rsidRPr="00062C83">
                        <w:rPr>
                          <w:rFonts w:ascii="Georgia" w:eastAsia="Times New Roman" w:hAnsi="Georgia" w:cs="Arial"/>
                          <w:b/>
                          <w:color w:val="000000"/>
                          <w:spacing w:val="15"/>
                          <w:sz w:val="28"/>
                          <w:szCs w:val="28"/>
                          <w:lang w:val="en"/>
                        </w:rPr>
                        <w:t>Know Your Health Numbers</w:t>
                      </w:r>
                    </w:p>
                  </w:txbxContent>
                </v:textbox>
              </v:shape>
            </w:pict>
          </mc:Fallback>
        </mc:AlternateContent>
      </w:r>
      <w:r w:rsidR="00062C83">
        <w:rPr>
          <w:rFonts w:ascii="Georgia" w:eastAsia="Times New Roman" w:hAnsi="Georgia" w:cs="Arial"/>
          <w:color w:val="000000"/>
          <w:spacing w:val="15"/>
          <w:sz w:val="28"/>
          <w:szCs w:val="28"/>
          <w:lang w:val="en"/>
        </w:rPr>
        <w:t xml:space="preserve">                      </w:t>
      </w:r>
    </w:p>
    <w:p w:rsidR="00EA130D" w:rsidRDefault="00EA130D" w:rsidP="00062C83">
      <w:pPr>
        <w:shd w:val="clear" w:color="auto" w:fill="FFFFFF"/>
        <w:spacing w:after="0" w:line="240" w:lineRule="auto"/>
        <w:jc w:val="center"/>
        <w:outlineLvl w:val="2"/>
        <w:rPr>
          <w:rFonts w:ascii="Georgia" w:eastAsia="Times New Roman" w:hAnsi="Georgia" w:cs="Arial"/>
          <w:color w:val="000000"/>
          <w:spacing w:val="15"/>
          <w:sz w:val="28"/>
          <w:szCs w:val="28"/>
          <w:lang w:val="en"/>
        </w:rPr>
      </w:pPr>
    </w:p>
    <w:p w:rsidR="00062C83" w:rsidRDefault="00062C83" w:rsidP="00062C83">
      <w:pPr>
        <w:shd w:val="clear" w:color="auto" w:fill="FFFFFF"/>
        <w:spacing w:after="0" w:line="240" w:lineRule="auto"/>
        <w:jc w:val="center"/>
        <w:outlineLvl w:val="2"/>
        <w:rPr>
          <w:rFonts w:ascii="Georgia" w:eastAsia="Times New Roman" w:hAnsi="Georgia" w:cs="Arial"/>
          <w:color w:val="000000"/>
          <w:spacing w:val="15"/>
          <w:sz w:val="28"/>
          <w:szCs w:val="28"/>
          <w:lang w:val="en"/>
        </w:rPr>
      </w:pPr>
      <w:r>
        <w:rPr>
          <w:rFonts w:ascii="Georgia" w:eastAsia="Times New Roman" w:hAnsi="Georgia" w:cs="Arial"/>
          <w:color w:val="000000"/>
          <w:spacing w:val="15"/>
          <w:sz w:val="28"/>
          <w:szCs w:val="28"/>
          <w:lang w:val="en"/>
        </w:rPr>
        <w:t xml:space="preserve">                        </w:t>
      </w:r>
    </w:p>
    <w:p w:rsidR="00AC4073" w:rsidRPr="00AC4073" w:rsidRDefault="00062C83" w:rsidP="00062C83">
      <w:pPr>
        <w:shd w:val="clear" w:color="auto" w:fill="FFFFFF"/>
        <w:spacing w:after="0" w:line="240" w:lineRule="auto"/>
        <w:jc w:val="center"/>
        <w:outlineLvl w:val="2"/>
        <w:rPr>
          <w:rFonts w:ascii="Georgia" w:eastAsia="Times New Roman" w:hAnsi="Georgia" w:cs="Arial"/>
          <w:b/>
          <w:color w:val="000000"/>
          <w:spacing w:val="15"/>
          <w:sz w:val="28"/>
          <w:szCs w:val="28"/>
          <w:lang w:val="en"/>
        </w:rPr>
      </w:pPr>
      <w:r>
        <w:rPr>
          <w:rFonts w:ascii="Georgia" w:eastAsia="Times New Roman" w:hAnsi="Georgia" w:cs="Arial"/>
          <w:b/>
          <w:color w:val="000000"/>
          <w:spacing w:val="15"/>
          <w:sz w:val="28"/>
          <w:szCs w:val="28"/>
          <w:lang w:val="en"/>
        </w:rPr>
        <w:t xml:space="preserve">    </w:t>
      </w:r>
      <w:r w:rsidR="00AC4073" w:rsidRPr="00AC4073">
        <w:rPr>
          <w:rFonts w:ascii="Georgia" w:eastAsia="Times New Roman" w:hAnsi="Georgia" w:cs="Arial"/>
          <w:b/>
          <w:color w:val="000000"/>
          <w:spacing w:val="15"/>
          <w:sz w:val="28"/>
          <w:szCs w:val="28"/>
          <w:lang w:val="en"/>
        </w:rPr>
        <w:t>How is BMI calculated and interpreted?</w:t>
      </w:r>
    </w:p>
    <w:p w:rsidR="00062C83" w:rsidRDefault="00062C83" w:rsidP="00062C83">
      <w:pPr>
        <w:shd w:val="clear" w:color="auto" w:fill="FFFFFF"/>
        <w:spacing w:after="0" w:line="312" w:lineRule="atLeast"/>
        <w:rPr>
          <w:rFonts w:ascii="Verdana" w:eastAsia="Times New Roman" w:hAnsi="Verdana" w:cs="Arial"/>
          <w:b/>
          <w:bCs/>
          <w:color w:val="000000"/>
          <w:sz w:val="18"/>
          <w:szCs w:val="18"/>
          <w:lang w:val="en"/>
        </w:rPr>
      </w:pPr>
    </w:p>
    <w:p w:rsidR="00AC4073" w:rsidRPr="00AC4073" w:rsidRDefault="00AC4073" w:rsidP="00062C83">
      <w:pPr>
        <w:shd w:val="clear" w:color="auto" w:fill="FFFFFF"/>
        <w:spacing w:after="0" w:line="312" w:lineRule="atLeast"/>
        <w:rPr>
          <w:rFonts w:ascii="Verdana" w:eastAsia="Times New Roman" w:hAnsi="Verdana" w:cs="Arial"/>
          <w:color w:val="000000"/>
          <w:sz w:val="18"/>
          <w:szCs w:val="18"/>
          <w:lang w:val="en"/>
        </w:rPr>
      </w:pPr>
      <w:r w:rsidRPr="00AC4073">
        <w:rPr>
          <w:rFonts w:ascii="Verdana" w:eastAsia="Times New Roman" w:hAnsi="Verdana" w:cs="Arial"/>
          <w:b/>
          <w:bCs/>
          <w:color w:val="000000"/>
          <w:sz w:val="18"/>
          <w:szCs w:val="18"/>
          <w:lang w:val="en"/>
        </w:rPr>
        <w:t xml:space="preserve">Calculation of </w:t>
      </w:r>
      <w:r>
        <w:rPr>
          <w:rFonts w:ascii="Verdana" w:eastAsia="Times New Roman" w:hAnsi="Verdana" w:cs="Arial"/>
          <w:b/>
          <w:bCs/>
          <w:color w:val="000000"/>
          <w:sz w:val="18"/>
          <w:szCs w:val="18"/>
          <w:lang w:val="en"/>
        </w:rPr>
        <w:t>Adult BMI (20+ years</w:t>
      </w:r>
      <w:proofErr w:type="gramStart"/>
      <w:r>
        <w:rPr>
          <w:rFonts w:ascii="Verdana" w:eastAsia="Times New Roman" w:hAnsi="Verdana" w:cs="Arial"/>
          <w:b/>
          <w:bCs/>
          <w:color w:val="000000"/>
          <w:sz w:val="18"/>
          <w:szCs w:val="18"/>
          <w:lang w:val="en"/>
        </w:rPr>
        <w:t xml:space="preserve">) </w:t>
      </w:r>
      <w:r w:rsidRPr="00AC4073">
        <w:rPr>
          <w:rFonts w:ascii="Verdana" w:eastAsia="Times New Roman" w:hAnsi="Verdana" w:cs="Arial"/>
          <w:b/>
          <w:bCs/>
          <w:color w:val="000000"/>
          <w:sz w:val="18"/>
          <w:szCs w:val="18"/>
          <w:lang w:val="en"/>
        </w:rPr>
        <w:t xml:space="preserve"> </w:t>
      </w:r>
      <w:proofErr w:type="gramEnd"/>
      <w:r w:rsidRPr="00AC4073">
        <w:rPr>
          <w:rFonts w:ascii="Verdana" w:eastAsia="Times New Roman" w:hAnsi="Verdana" w:cs="Arial"/>
          <w:color w:val="000000"/>
          <w:sz w:val="18"/>
          <w:szCs w:val="18"/>
          <w:lang w:val="en"/>
        </w:rPr>
        <w:br/>
        <w:t>BMI calculation is</w:t>
      </w:r>
      <w:r w:rsidR="00283E4D">
        <w:rPr>
          <w:rFonts w:ascii="Verdana" w:eastAsia="Times New Roman" w:hAnsi="Verdana" w:cs="Arial"/>
          <w:color w:val="000000"/>
          <w:sz w:val="18"/>
          <w:szCs w:val="18"/>
          <w:lang w:val="en"/>
        </w:rPr>
        <w:t xml:space="preserve"> based on the following formula</w:t>
      </w:r>
      <w:r w:rsidRPr="00AC4073">
        <w:rPr>
          <w:rFonts w:ascii="Verdana" w:eastAsia="Times New Roman" w:hAnsi="Verdana" w:cs="Arial"/>
          <w:color w:val="000000"/>
          <w:sz w:val="18"/>
          <w:szCs w:val="18"/>
          <w:lang w:val="en"/>
        </w:rPr>
        <w:t>:</w:t>
      </w:r>
    </w:p>
    <w:tbl>
      <w:tblPr>
        <w:tblW w:w="4500" w:type="pct"/>
        <w:jc w:val="center"/>
        <w:tblInd w:w="150" w:type="dxa"/>
        <w:tblBorders>
          <w:top w:val="single" w:sz="6" w:space="0" w:color="CDCDCD"/>
          <w:left w:val="single" w:sz="6" w:space="0" w:color="CDCDCD"/>
          <w:bottom w:val="single" w:sz="6" w:space="0" w:color="CDCDCD"/>
          <w:right w:val="single" w:sz="6" w:space="0" w:color="CDCDCD"/>
        </w:tblBorders>
        <w:tblCellMar>
          <w:top w:w="75" w:type="dxa"/>
          <w:left w:w="75" w:type="dxa"/>
          <w:bottom w:w="75" w:type="dxa"/>
          <w:right w:w="75" w:type="dxa"/>
        </w:tblCellMar>
        <w:tblLook w:val="04A0" w:firstRow="1" w:lastRow="0" w:firstColumn="1" w:lastColumn="0" w:noHBand="0" w:noVBand="1"/>
      </w:tblPr>
      <w:tblGrid>
        <w:gridCol w:w="1899"/>
        <w:gridCol w:w="7956"/>
      </w:tblGrid>
      <w:tr w:rsidR="00AC4073" w:rsidRPr="00AC4073" w:rsidTr="00AC4073">
        <w:trPr>
          <w:jc w:val="center"/>
        </w:trPr>
        <w:tc>
          <w:tcPr>
            <w:tcW w:w="0" w:type="auto"/>
            <w:tcBorders>
              <w:top w:val="single" w:sz="6" w:space="0" w:color="CDCDCD"/>
              <w:left w:val="single" w:sz="6" w:space="0" w:color="CDCDCD"/>
              <w:bottom w:val="single" w:sz="6" w:space="0" w:color="CDCDCD"/>
              <w:right w:val="single" w:sz="6" w:space="0" w:color="CDCDCD"/>
            </w:tcBorders>
            <w:shd w:val="clear" w:color="auto" w:fill="F3F2F9"/>
            <w:vAlign w:val="center"/>
            <w:hideMark/>
          </w:tcPr>
          <w:p w:rsidR="00AC4073" w:rsidRPr="00AC4073" w:rsidRDefault="00AC4073" w:rsidP="00AC4073">
            <w:pPr>
              <w:spacing w:before="150" w:after="150" w:line="240" w:lineRule="auto"/>
              <w:rPr>
                <w:rFonts w:ascii="Verdana" w:eastAsia="Times New Roman" w:hAnsi="Verdana" w:cs="Arial"/>
                <w:b/>
                <w:bCs/>
                <w:color w:val="000000"/>
                <w:sz w:val="18"/>
                <w:szCs w:val="18"/>
              </w:rPr>
            </w:pPr>
            <w:bookmarkStart w:id="1" w:name="_GoBack" w:colFirst="2" w:colLast="2"/>
            <w:r w:rsidRPr="00AC4073">
              <w:rPr>
                <w:rFonts w:ascii="Verdana" w:eastAsia="Times New Roman" w:hAnsi="Verdana" w:cs="Arial"/>
                <w:b/>
                <w:bCs/>
                <w:color w:val="000000"/>
                <w:sz w:val="18"/>
                <w:szCs w:val="18"/>
              </w:rPr>
              <w:t>Measurement Units</w:t>
            </w:r>
          </w:p>
        </w:tc>
        <w:tc>
          <w:tcPr>
            <w:tcW w:w="0" w:type="auto"/>
            <w:tcBorders>
              <w:top w:val="single" w:sz="6" w:space="0" w:color="CDCDCD"/>
              <w:left w:val="single" w:sz="6" w:space="0" w:color="CDCDCD"/>
              <w:bottom w:val="single" w:sz="6" w:space="0" w:color="CDCDCD"/>
              <w:right w:val="single" w:sz="6" w:space="0" w:color="CDCDCD"/>
            </w:tcBorders>
            <w:shd w:val="clear" w:color="auto" w:fill="F3F2F9"/>
            <w:vAlign w:val="center"/>
            <w:hideMark/>
          </w:tcPr>
          <w:p w:rsidR="00AC4073" w:rsidRPr="00AC4073" w:rsidRDefault="00AC4073" w:rsidP="00AC4073">
            <w:pPr>
              <w:spacing w:before="150" w:after="150" w:line="240" w:lineRule="auto"/>
              <w:jc w:val="center"/>
              <w:rPr>
                <w:rFonts w:ascii="Verdana" w:eastAsia="Times New Roman" w:hAnsi="Verdana" w:cs="Arial"/>
                <w:b/>
                <w:bCs/>
                <w:color w:val="000000"/>
                <w:sz w:val="18"/>
                <w:szCs w:val="18"/>
              </w:rPr>
            </w:pPr>
            <w:r w:rsidRPr="00AC4073">
              <w:rPr>
                <w:rFonts w:ascii="Verdana" w:eastAsia="Times New Roman" w:hAnsi="Verdana" w:cs="Arial"/>
                <w:b/>
                <w:bCs/>
                <w:color w:val="000000"/>
                <w:sz w:val="18"/>
                <w:szCs w:val="18"/>
              </w:rPr>
              <w:t>Formula and Calculation</w:t>
            </w:r>
          </w:p>
        </w:tc>
      </w:tr>
      <w:tr w:rsidR="00AC4073" w:rsidRPr="00AC4073" w:rsidTr="00AC4073">
        <w:trPr>
          <w:jc w:val="center"/>
        </w:trPr>
        <w:tc>
          <w:tcPr>
            <w:tcW w:w="0" w:type="auto"/>
            <w:tcBorders>
              <w:top w:val="single" w:sz="6" w:space="0" w:color="CDCDCD"/>
              <w:left w:val="single" w:sz="6" w:space="0" w:color="CDCDCD"/>
              <w:bottom w:val="single" w:sz="6" w:space="0" w:color="CDCDCD"/>
              <w:right w:val="single" w:sz="6" w:space="0" w:color="CDCDCD"/>
            </w:tcBorders>
            <w:shd w:val="clear" w:color="auto" w:fill="F3F2F9"/>
            <w:hideMark/>
          </w:tcPr>
          <w:p w:rsidR="00AC4073" w:rsidRPr="00AC4073" w:rsidRDefault="00AC4073" w:rsidP="00AC4073">
            <w:pPr>
              <w:spacing w:after="0" w:line="240" w:lineRule="auto"/>
              <w:rPr>
                <w:rFonts w:ascii="Verdana" w:eastAsia="Times New Roman" w:hAnsi="Verdana" w:cs="Arial"/>
                <w:b/>
                <w:bCs/>
                <w:color w:val="000000"/>
                <w:sz w:val="18"/>
                <w:szCs w:val="18"/>
              </w:rPr>
            </w:pPr>
            <w:r w:rsidRPr="00AC4073">
              <w:rPr>
                <w:rFonts w:ascii="Verdana" w:eastAsia="Times New Roman" w:hAnsi="Verdana" w:cs="Arial"/>
                <w:b/>
                <w:bCs/>
                <w:color w:val="000000"/>
                <w:sz w:val="18"/>
                <w:szCs w:val="18"/>
              </w:rPr>
              <w:t>Pounds and inches</w:t>
            </w:r>
          </w:p>
        </w:tc>
        <w:tc>
          <w:tcPr>
            <w:tcW w:w="0" w:type="auto"/>
            <w:tcBorders>
              <w:top w:val="single" w:sz="6" w:space="0" w:color="CDCDCD"/>
              <w:left w:val="single" w:sz="6" w:space="0" w:color="CDCDCD"/>
              <w:bottom w:val="single" w:sz="6" w:space="0" w:color="CDCDCD"/>
              <w:right w:val="single" w:sz="6" w:space="0" w:color="CDCDCD"/>
            </w:tcBorders>
            <w:hideMark/>
          </w:tcPr>
          <w:p w:rsidR="00AC4073" w:rsidRPr="00AC4073" w:rsidRDefault="00AC4073" w:rsidP="00AC4073">
            <w:pPr>
              <w:spacing w:after="0" w:line="240" w:lineRule="auto"/>
              <w:jc w:val="center"/>
              <w:rPr>
                <w:rFonts w:ascii="Verdana" w:eastAsia="Times New Roman" w:hAnsi="Verdana" w:cs="Arial"/>
                <w:color w:val="000000"/>
                <w:sz w:val="18"/>
                <w:szCs w:val="18"/>
              </w:rPr>
            </w:pPr>
            <w:r w:rsidRPr="00AC4073">
              <w:rPr>
                <w:rFonts w:ascii="Verdana" w:eastAsia="Times New Roman" w:hAnsi="Verdana" w:cs="Arial"/>
                <w:color w:val="000000"/>
                <w:sz w:val="18"/>
                <w:szCs w:val="18"/>
              </w:rPr>
              <w:t>Formula: weight (</w:t>
            </w:r>
            <w:proofErr w:type="spellStart"/>
            <w:r w:rsidRPr="00AC4073">
              <w:rPr>
                <w:rFonts w:ascii="Verdana" w:eastAsia="Times New Roman" w:hAnsi="Verdana" w:cs="Arial"/>
                <w:color w:val="000000"/>
                <w:sz w:val="18"/>
                <w:szCs w:val="18"/>
              </w:rPr>
              <w:t>lb</w:t>
            </w:r>
            <w:proofErr w:type="spellEnd"/>
            <w:r w:rsidRPr="00AC4073">
              <w:rPr>
                <w:rFonts w:ascii="Verdana" w:eastAsia="Times New Roman" w:hAnsi="Verdana" w:cs="Arial"/>
                <w:color w:val="000000"/>
                <w:sz w:val="18"/>
                <w:szCs w:val="18"/>
              </w:rPr>
              <w:t>) / [height (in)]</w:t>
            </w:r>
            <w:r w:rsidRPr="00AC4073">
              <w:rPr>
                <w:rFonts w:ascii="Verdana" w:eastAsia="Times New Roman" w:hAnsi="Verdana" w:cs="Arial"/>
                <w:color w:val="000000"/>
                <w:sz w:val="15"/>
                <w:szCs w:val="15"/>
                <w:vertAlign w:val="superscript"/>
              </w:rPr>
              <w:t>2</w:t>
            </w:r>
            <w:r w:rsidRPr="00AC4073">
              <w:rPr>
                <w:rFonts w:ascii="Verdana" w:eastAsia="Times New Roman" w:hAnsi="Verdana" w:cs="Arial"/>
                <w:color w:val="000000"/>
                <w:sz w:val="18"/>
                <w:szCs w:val="18"/>
              </w:rPr>
              <w:t xml:space="preserve"> x 703 </w:t>
            </w:r>
          </w:p>
          <w:p w:rsidR="00AC4073" w:rsidRPr="00AC4073" w:rsidRDefault="00AC4073" w:rsidP="00AC4073">
            <w:pPr>
              <w:spacing w:after="240" w:line="312" w:lineRule="atLeast"/>
              <w:rPr>
                <w:rFonts w:ascii="Verdana" w:eastAsia="Times New Roman" w:hAnsi="Verdana" w:cs="Arial"/>
                <w:color w:val="000000"/>
                <w:sz w:val="18"/>
                <w:szCs w:val="18"/>
              </w:rPr>
            </w:pPr>
            <w:r w:rsidRPr="00AC4073">
              <w:rPr>
                <w:rFonts w:ascii="Verdana" w:eastAsia="Times New Roman" w:hAnsi="Verdana" w:cs="Arial"/>
                <w:color w:val="000000"/>
                <w:sz w:val="18"/>
                <w:szCs w:val="18"/>
              </w:rPr>
              <w:t>Calculate BMI by dividing weight in pounds (</w:t>
            </w:r>
            <w:proofErr w:type="spellStart"/>
            <w:r w:rsidRPr="00AC4073">
              <w:rPr>
                <w:rFonts w:ascii="Verdana" w:eastAsia="Times New Roman" w:hAnsi="Verdana" w:cs="Arial"/>
                <w:color w:val="000000"/>
                <w:sz w:val="18"/>
                <w:szCs w:val="18"/>
              </w:rPr>
              <w:t>lbs</w:t>
            </w:r>
            <w:proofErr w:type="spellEnd"/>
            <w:r w:rsidRPr="00AC4073">
              <w:rPr>
                <w:rFonts w:ascii="Verdana" w:eastAsia="Times New Roman" w:hAnsi="Verdana" w:cs="Arial"/>
                <w:color w:val="000000"/>
                <w:sz w:val="18"/>
                <w:szCs w:val="18"/>
              </w:rPr>
              <w:t>) by height in inches (in) squared and multiplying by a conversion factor of 703.</w:t>
            </w:r>
          </w:p>
          <w:p w:rsidR="00AC4073" w:rsidRPr="00AC4073" w:rsidRDefault="00AC4073" w:rsidP="00AC4073">
            <w:pPr>
              <w:spacing w:after="240" w:line="312" w:lineRule="atLeast"/>
              <w:rPr>
                <w:rFonts w:ascii="Verdana" w:eastAsia="Times New Roman" w:hAnsi="Verdana" w:cs="Arial"/>
                <w:color w:val="000000"/>
                <w:sz w:val="18"/>
                <w:szCs w:val="18"/>
              </w:rPr>
            </w:pPr>
            <w:r w:rsidRPr="00AC4073">
              <w:rPr>
                <w:rFonts w:ascii="Verdana" w:eastAsia="Times New Roman" w:hAnsi="Verdana" w:cs="Arial"/>
                <w:color w:val="000000"/>
                <w:sz w:val="18"/>
                <w:szCs w:val="18"/>
              </w:rPr>
              <w:t xml:space="preserve">Example: Weight = 150 </w:t>
            </w:r>
            <w:proofErr w:type="spellStart"/>
            <w:r w:rsidRPr="00AC4073">
              <w:rPr>
                <w:rFonts w:ascii="Verdana" w:eastAsia="Times New Roman" w:hAnsi="Verdana" w:cs="Arial"/>
                <w:color w:val="000000"/>
                <w:sz w:val="18"/>
                <w:szCs w:val="18"/>
              </w:rPr>
              <w:t>lbs</w:t>
            </w:r>
            <w:proofErr w:type="spellEnd"/>
            <w:r w:rsidRPr="00AC4073">
              <w:rPr>
                <w:rFonts w:ascii="Verdana" w:eastAsia="Times New Roman" w:hAnsi="Verdana" w:cs="Arial"/>
                <w:color w:val="000000"/>
                <w:sz w:val="18"/>
                <w:szCs w:val="18"/>
              </w:rPr>
              <w:t>, Height = 5'5" (65")</w:t>
            </w:r>
            <w:r w:rsidRPr="00AC4073">
              <w:rPr>
                <w:rFonts w:ascii="Verdana" w:eastAsia="Times New Roman" w:hAnsi="Verdana" w:cs="Arial"/>
                <w:color w:val="000000"/>
                <w:sz w:val="18"/>
                <w:szCs w:val="18"/>
              </w:rPr>
              <w:br/>
              <w:t>Calculation: [150 ÷ (65)</w:t>
            </w:r>
            <w:r w:rsidRPr="00AC4073">
              <w:rPr>
                <w:rFonts w:ascii="Verdana" w:eastAsia="Times New Roman" w:hAnsi="Verdana" w:cs="Arial"/>
                <w:color w:val="000000"/>
                <w:sz w:val="15"/>
                <w:szCs w:val="15"/>
                <w:vertAlign w:val="superscript"/>
              </w:rPr>
              <w:t>2</w:t>
            </w:r>
            <w:r w:rsidRPr="00AC4073">
              <w:rPr>
                <w:rFonts w:ascii="Verdana" w:eastAsia="Times New Roman" w:hAnsi="Verdana" w:cs="Arial"/>
                <w:color w:val="000000"/>
                <w:sz w:val="18"/>
                <w:szCs w:val="18"/>
              </w:rPr>
              <w:t>] x 703 = 24.96</w:t>
            </w:r>
          </w:p>
        </w:tc>
      </w:tr>
    </w:tbl>
    <w:bookmarkEnd w:id="1"/>
    <w:p w:rsidR="00AC4073" w:rsidRDefault="00AC4073" w:rsidP="00AC4073">
      <w:pPr>
        <w:shd w:val="clear" w:color="auto" w:fill="FFFFFF"/>
        <w:spacing w:after="240" w:line="312" w:lineRule="atLeast"/>
        <w:rPr>
          <w:rFonts w:ascii="Verdana" w:eastAsia="Times New Roman" w:hAnsi="Verdana" w:cs="Arial"/>
          <w:color w:val="000000"/>
          <w:sz w:val="18"/>
          <w:szCs w:val="18"/>
          <w:lang w:val="en"/>
        </w:rPr>
      </w:pPr>
      <w:r w:rsidRPr="00AC4073">
        <w:rPr>
          <w:rFonts w:ascii="Verdana" w:eastAsia="Times New Roman" w:hAnsi="Verdana" w:cs="Arial"/>
          <w:b/>
          <w:bCs/>
          <w:color w:val="000000"/>
          <w:sz w:val="18"/>
          <w:szCs w:val="18"/>
          <w:lang w:val="en"/>
        </w:rPr>
        <w:br/>
        <w:t>Interpretation of BMI for adults</w:t>
      </w:r>
      <w:r w:rsidRPr="00AC4073">
        <w:rPr>
          <w:rFonts w:ascii="Verdana" w:eastAsia="Times New Roman" w:hAnsi="Verdana" w:cs="Arial"/>
          <w:color w:val="000000"/>
          <w:sz w:val="18"/>
          <w:szCs w:val="18"/>
          <w:lang w:val="en"/>
        </w:rPr>
        <w:br/>
      </w:r>
      <w:proofErr w:type="gramStart"/>
      <w:r w:rsidRPr="00AC4073">
        <w:rPr>
          <w:rFonts w:ascii="Verdana" w:eastAsia="Times New Roman" w:hAnsi="Verdana" w:cs="Arial"/>
          <w:color w:val="000000"/>
          <w:sz w:val="18"/>
          <w:szCs w:val="18"/>
          <w:lang w:val="en"/>
        </w:rPr>
        <w:t>For</w:t>
      </w:r>
      <w:proofErr w:type="gramEnd"/>
      <w:r w:rsidRPr="00AC4073">
        <w:rPr>
          <w:rFonts w:ascii="Verdana" w:eastAsia="Times New Roman" w:hAnsi="Verdana" w:cs="Arial"/>
          <w:color w:val="000000"/>
          <w:sz w:val="18"/>
          <w:szCs w:val="18"/>
          <w:lang w:val="en"/>
        </w:rPr>
        <w:t xml:space="preserve"> adults 20 years old and older, BMI is interpreted using standard weight status categories that are the same for all ages and for both men and women. </w:t>
      </w:r>
    </w:p>
    <w:p w:rsidR="00AC4073" w:rsidRPr="00AC4073" w:rsidRDefault="00AC4073" w:rsidP="00AC4073">
      <w:pPr>
        <w:shd w:val="clear" w:color="auto" w:fill="FFFFFF"/>
        <w:spacing w:after="4" w:line="240" w:lineRule="auto"/>
        <w:rPr>
          <w:rFonts w:ascii="Verdana" w:eastAsia="Times New Roman" w:hAnsi="Verdana" w:cs="Arial"/>
          <w:color w:val="000000"/>
          <w:sz w:val="18"/>
          <w:szCs w:val="18"/>
          <w:lang w:val="en"/>
        </w:rPr>
      </w:pPr>
      <w:r w:rsidRPr="00AC4073">
        <w:rPr>
          <w:rFonts w:ascii="Verdana" w:eastAsia="Times New Roman" w:hAnsi="Verdana" w:cs="Arial"/>
          <w:color w:val="000000"/>
          <w:sz w:val="18"/>
          <w:szCs w:val="18"/>
          <w:lang w:val="en"/>
        </w:rPr>
        <w:t xml:space="preserve">The standard weight status categories associated with BMI ranges for adults are shown in the following table. </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578"/>
        <w:gridCol w:w="1579"/>
        <w:gridCol w:w="4456"/>
      </w:tblGrid>
      <w:tr w:rsidR="007A3497" w:rsidRPr="00AC4073" w:rsidTr="007A3497">
        <w:trPr>
          <w:jc w:val="center"/>
        </w:trPr>
        <w:tc>
          <w:tcPr>
            <w:tcW w:w="0" w:type="auto"/>
            <w:shd w:val="clear" w:color="auto" w:fill="F3F2F9"/>
            <w:vAlign w:val="center"/>
            <w:hideMark/>
          </w:tcPr>
          <w:p w:rsidR="007A3497" w:rsidRPr="007A3497" w:rsidRDefault="007A3497" w:rsidP="007A3497">
            <w:pPr>
              <w:spacing w:before="150" w:after="150" w:line="240" w:lineRule="auto"/>
              <w:jc w:val="center"/>
              <w:rPr>
                <w:rFonts w:ascii="Verdana" w:eastAsia="Times New Roman" w:hAnsi="Verdana" w:cs="Arial"/>
                <w:b/>
                <w:bCs/>
                <w:color w:val="000000"/>
                <w:sz w:val="18"/>
                <w:szCs w:val="18"/>
              </w:rPr>
            </w:pPr>
            <w:r w:rsidRPr="007A3497">
              <w:rPr>
                <w:rFonts w:ascii="Verdana" w:eastAsia="Times New Roman" w:hAnsi="Verdana" w:cs="Arial"/>
                <w:b/>
                <w:bCs/>
                <w:color w:val="000000"/>
                <w:sz w:val="18"/>
                <w:szCs w:val="18"/>
              </w:rPr>
              <w:t>BMI</w:t>
            </w:r>
          </w:p>
        </w:tc>
        <w:tc>
          <w:tcPr>
            <w:tcW w:w="0" w:type="auto"/>
            <w:shd w:val="clear" w:color="auto" w:fill="F3F2F9"/>
            <w:vAlign w:val="center"/>
            <w:hideMark/>
          </w:tcPr>
          <w:p w:rsidR="007A3497" w:rsidRPr="007A3497" w:rsidRDefault="007A3497" w:rsidP="007A3497">
            <w:pPr>
              <w:spacing w:before="150" w:after="150" w:line="240" w:lineRule="auto"/>
              <w:jc w:val="center"/>
              <w:rPr>
                <w:rFonts w:ascii="Verdana" w:eastAsia="Times New Roman" w:hAnsi="Verdana" w:cs="Arial"/>
                <w:b/>
                <w:bCs/>
                <w:color w:val="000000"/>
                <w:sz w:val="18"/>
                <w:szCs w:val="18"/>
              </w:rPr>
            </w:pPr>
            <w:r w:rsidRPr="007A3497">
              <w:rPr>
                <w:rFonts w:ascii="Verdana" w:eastAsia="Times New Roman" w:hAnsi="Verdana" w:cs="Arial"/>
                <w:b/>
                <w:bCs/>
                <w:color w:val="000000"/>
                <w:sz w:val="18"/>
                <w:szCs w:val="18"/>
              </w:rPr>
              <w:t>Weight Status</w:t>
            </w:r>
          </w:p>
        </w:tc>
        <w:tc>
          <w:tcPr>
            <w:tcW w:w="4456" w:type="dxa"/>
            <w:shd w:val="clear" w:color="auto" w:fill="F3F2F9"/>
            <w:vAlign w:val="center"/>
          </w:tcPr>
          <w:p w:rsidR="007A3497" w:rsidRPr="007A3497" w:rsidRDefault="007A3497" w:rsidP="007A3497">
            <w:pPr>
              <w:jc w:val="center"/>
              <w:rPr>
                <w:rFonts w:ascii="Verdana" w:hAnsi="Verdana"/>
                <w:b/>
                <w:sz w:val="18"/>
                <w:szCs w:val="18"/>
              </w:rPr>
            </w:pPr>
            <w:r w:rsidRPr="007A3497">
              <w:rPr>
                <w:rFonts w:ascii="Verdana" w:hAnsi="Verdana"/>
                <w:b/>
                <w:sz w:val="18"/>
                <w:szCs w:val="18"/>
              </w:rPr>
              <w:t>What to Do</w:t>
            </w:r>
          </w:p>
        </w:tc>
      </w:tr>
      <w:tr w:rsidR="007A3497" w:rsidRPr="00AC4073" w:rsidTr="007A3497">
        <w:trPr>
          <w:jc w:val="center"/>
        </w:trPr>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Below 18.5</w:t>
            </w:r>
          </w:p>
        </w:tc>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Underweight</w:t>
            </w:r>
          </w:p>
        </w:tc>
        <w:tc>
          <w:tcPr>
            <w:tcW w:w="4456" w:type="dxa"/>
          </w:tcPr>
          <w:p w:rsidR="007A3497" w:rsidRPr="007A3497" w:rsidRDefault="007A3497" w:rsidP="0060608A">
            <w:pPr>
              <w:rPr>
                <w:rFonts w:ascii="Verdana" w:hAnsi="Verdana"/>
                <w:sz w:val="18"/>
                <w:szCs w:val="18"/>
              </w:rPr>
            </w:pPr>
            <w:r w:rsidRPr="007A3497">
              <w:rPr>
                <w:rFonts w:ascii="Verdana" w:hAnsi="Verdana"/>
                <w:sz w:val="18"/>
                <w:szCs w:val="18"/>
              </w:rPr>
              <w:t>Consult a health provider.  Low body mass can decrease the immune system and lead to illness.</w:t>
            </w:r>
          </w:p>
        </w:tc>
      </w:tr>
      <w:tr w:rsidR="007A3497" w:rsidRPr="00AC4073" w:rsidTr="007A3497">
        <w:trPr>
          <w:jc w:val="center"/>
        </w:trPr>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18.5 – 24.9</w:t>
            </w:r>
          </w:p>
        </w:tc>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Normal</w:t>
            </w:r>
          </w:p>
        </w:tc>
        <w:tc>
          <w:tcPr>
            <w:tcW w:w="4456" w:type="dxa"/>
          </w:tcPr>
          <w:p w:rsidR="007A3497" w:rsidRPr="007A3497" w:rsidRDefault="007A3497" w:rsidP="0060608A">
            <w:pPr>
              <w:rPr>
                <w:rFonts w:ascii="Verdana" w:hAnsi="Verdana"/>
                <w:sz w:val="18"/>
                <w:szCs w:val="18"/>
              </w:rPr>
            </w:pPr>
            <w:r w:rsidRPr="007A3497">
              <w:rPr>
                <w:rFonts w:ascii="Verdana" w:hAnsi="Verdana"/>
                <w:sz w:val="18"/>
                <w:szCs w:val="18"/>
              </w:rPr>
              <w:t xml:space="preserve">Maintain exercising and eating healthy. </w:t>
            </w:r>
          </w:p>
        </w:tc>
      </w:tr>
      <w:tr w:rsidR="007A3497" w:rsidRPr="00AC4073" w:rsidTr="007A3497">
        <w:trPr>
          <w:jc w:val="center"/>
        </w:trPr>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25.0 – 29.9</w:t>
            </w:r>
          </w:p>
        </w:tc>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Overweight</w:t>
            </w:r>
          </w:p>
        </w:tc>
        <w:tc>
          <w:tcPr>
            <w:tcW w:w="4456" w:type="dxa"/>
          </w:tcPr>
          <w:p w:rsidR="007A3497" w:rsidRPr="007A3497" w:rsidRDefault="007A3497" w:rsidP="0060608A">
            <w:pPr>
              <w:rPr>
                <w:rFonts w:ascii="Verdana" w:hAnsi="Verdana"/>
                <w:sz w:val="18"/>
                <w:szCs w:val="18"/>
              </w:rPr>
            </w:pPr>
            <w:r w:rsidRPr="007A3497">
              <w:rPr>
                <w:rFonts w:ascii="Verdana" w:hAnsi="Verdana"/>
                <w:sz w:val="18"/>
                <w:szCs w:val="18"/>
              </w:rPr>
              <w:t>Find healthy ways to lower weight, including healthy eating and exercise.</w:t>
            </w:r>
          </w:p>
        </w:tc>
      </w:tr>
      <w:tr w:rsidR="007A3497" w:rsidRPr="00AC4073" w:rsidTr="007A3497">
        <w:trPr>
          <w:jc w:val="center"/>
        </w:trPr>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30.0 and Above</w:t>
            </w:r>
          </w:p>
        </w:tc>
        <w:tc>
          <w:tcPr>
            <w:tcW w:w="0" w:type="auto"/>
            <w:vAlign w:val="center"/>
            <w:hideMark/>
          </w:tcPr>
          <w:p w:rsidR="007A3497" w:rsidRPr="007A3497" w:rsidRDefault="007A3497" w:rsidP="00AC4073">
            <w:pPr>
              <w:spacing w:before="150" w:after="150" w:line="240" w:lineRule="auto"/>
              <w:jc w:val="center"/>
              <w:rPr>
                <w:rFonts w:ascii="Verdana" w:eastAsia="Times New Roman" w:hAnsi="Verdana" w:cs="Arial"/>
                <w:color w:val="000000"/>
                <w:sz w:val="18"/>
                <w:szCs w:val="18"/>
              </w:rPr>
            </w:pPr>
            <w:r w:rsidRPr="007A3497">
              <w:rPr>
                <w:rFonts w:ascii="Verdana" w:eastAsia="Times New Roman" w:hAnsi="Verdana" w:cs="Arial"/>
                <w:color w:val="000000"/>
                <w:sz w:val="18"/>
                <w:szCs w:val="18"/>
              </w:rPr>
              <w:t>Obese</w:t>
            </w:r>
          </w:p>
        </w:tc>
        <w:tc>
          <w:tcPr>
            <w:tcW w:w="4456" w:type="dxa"/>
          </w:tcPr>
          <w:p w:rsidR="007A3497" w:rsidRPr="007A3497" w:rsidRDefault="007A3497" w:rsidP="0060608A">
            <w:pPr>
              <w:rPr>
                <w:rFonts w:ascii="Verdana" w:hAnsi="Verdana"/>
                <w:sz w:val="18"/>
                <w:szCs w:val="18"/>
              </w:rPr>
            </w:pPr>
            <w:r w:rsidRPr="007A3497">
              <w:rPr>
                <w:rFonts w:ascii="Verdana" w:hAnsi="Verdana" w:cs="Times New Roman"/>
                <w:sz w:val="18"/>
                <w:szCs w:val="18"/>
              </w:rPr>
              <w:t xml:space="preserve">At serious risk for heart disease, diabetes, high blood pressure, gall bladder disease, and some cancers, talk to a health care provider and modify your lifestyle.  </w:t>
            </w:r>
          </w:p>
        </w:tc>
      </w:tr>
    </w:tbl>
    <w:p w:rsidR="00EA130D" w:rsidRDefault="00EA130D">
      <w:pPr>
        <w:rPr>
          <w:rFonts w:ascii="Verdana" w:eastAsia="Times New Roman" w:hAnsi="Verdana" w:cs="Arial"/>
          <w:b/>
          <w:bCs/>
          <w:color w:val="000000"/>
          <w:sz w:val="18"/>
          <w:szCs w:val="18"/>
          <w:lang w:val="en"/>
        </w:rPr>
      </w:pPr>
    </w:p>
    <w:p w:rsidR="00AC4073" w:rsidRPr="00EA130D" w:rsidRDefault="00AC4073">
      <w:pPr>
        <w:rPr>
          <w:sz w:val="20"/>
          <w:szCs w:val="20"/>
        </w:rPr>
      </w:pPr>
      <w:r>
        <w:rPr>
          <w:rFonts w:ascii="Verdana" w:eastAsia="Times New Roman" w:hAnsi="Verdana" w:cs="Arial"/>
          <w:b/>
          <w:bCs/>
          <w:color w:val="000000"/>
          <w:sz w:val="18"/>
          <w:szCs w:val="18"/>
          <w:lang w:val="en"/>
        </w:rPr>
        <w:t xml:space="preserve">Calculation and </w:t>
      </w:r>
      <w:r w:rsidRPr="00AC4073">
        <w:rPr>
          <w:rFonts w:ascii="Verdana" w:eastAsia="Times New Roman" w:hAnsi="Verdana" w:cs="Arial"/>
          <w:b/>
          <w:bCs/>
          <w:color w:val="000000"/>
          <w:sz w:val="18"/>
          <w:szCs w:val="18"/>
          <w:lang w:val="en"/>
        </w:rPr>
        <w:t xml:space="preserve">Interpretation of BMI for </w:t>
      </w:r>
      <w:r>
        <w:rPr>
          <w:rFonts w:ascii="Verdana" w:eastAsia="Times New Roman" w:hAnsi="Verdana" w:cs="Arial"/>
          <w:b/>
          <w:bCs/>
          <w:color w:val="000000"/>
          <w:sz w:val="18"/>
          <w:szCs w:val="18"/>
          <w:lang w:val="en"/>
        </w:rPr>
        <w:t>Children and Teens (2-19 years</w:t>
      </w:r>
      <w:proofErr w:type="gramStart"/>
      <w:r>
        <w:rPr>
          <w:rFonts w:ascii="Verdana" w:eastAsia="Times New Roman" w:hAnsi="Verdana" w:cs="Arial"/>
          <w:b/>
          <w:bCs/>
          <w:color w:val="000000"/>
          <w:sz w:val="18"/>
          <w:szCs w:val="18"/>
          <w:lang w:val="en"/>
        </w:rPr>
        <w:t>)</w:t>
      </w:r>
      <w:proofErr w:type="gramEnd"/>
      <w:r w:rsidRPr="00AC4073">
        <w:rPr>
          <w:rFonts w:ascii="Verdana" w:eastAsia="Times New Roman" w:hAnsi="Verdana" w:cs="Arial"/>
          <w:color w:val="000000"/>
          <w:sz w:val="18"/>
          <w:szCs w:val="18"/>
          <w:lang w:val="en"/>
        </w:rPr>
        <w:br/>
      </w:r>
      <w:r w:rsidR="00283E4D" w:rsidRPr="00EA130D">
        <w:rPr>
          <w:rFonts w:ascii="Verdana" w:eastAsia="Times New Roman" w:hAnsi="Verdana" w:cs="Arial"/>
          <w:color w:val="000000"/>
          <w:sz w:val="20"/>
          <w:szCs w:val="20"/>
          <w:lang w:val="en"/>
        </w:rPr>
        <w:t xml:space="preserve">While the BMI number is calculated the same way for children and adults, the criteria used to interpret the meaning of the BMI number for children and teens are different from those used for adults.  For children and teens, the interpretation of BMI is both age- and sex-specific.  Age- and sex-specific percentiles are used because the amount of body fat changes with age and because the amount of body fat differs between girls and boys.  The Centers for Disease Control and Prevention (CDC) offers a free online child and teen BMI calculator and interpretation information </w:t>
      </w:r>
      <w:r w:rsidRPr="00EA130D">
        <w:rPr>
          <w:rFonts w:ascii="Verdana" w:eastAsia="Times New Roman" w:hAnsi="Verdana" w:cs="Arial"/>
          <w:color w:val="000000"/>
          <w:sz w:val="20"/>
          <w:szCs w:val="20"/>
          <w:lang w:val="en"/>
        </w:rPr>
        <w:t xml:space="preserve">at </w:t>
      </w:r>
      <w:hyperlink r:id="rId6" w:history="1">
        <w:r w:rsidRPr="00EA130D">
          <w:rPr>
            <w:rStyle w:val="Hyperlink"/>
            <w:rFonts w:ascii="Verdana" w:eastAsia="Times New Roman" w:hAnsi="Verdana" w:cs="Arial"/>
            <w:sz w:val="20"/>
            <w:szCs w:val="20"/>
            <w:lang w:val="en"/>
          </w:rPr>
          <w:t>http://apps.nccd.cdc.gov/dnpabmi/</w:t>
        </w:r>
      </w:hyperlink>
    </w:p>
    <w:sectPr w:rsidR="00AC4073" w:rsidRPr="00EA130D" w:rsidSect="00EA1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73"/>
    <w:rsid w:val="00062C83"/>
    <w:rsid w:val="001A1D14"/>
    <w:rsid w:val="00283E4D"/>
    <w:rsid w:val="007A3497"/>
    <w:rsid w:val="00AC4073"/>
    <w:rsid w:val="00DF3507"/>
    <w:rsid w:val="00EA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73"/>
    <w:rPr>
      <w:color w:val="0000FF" w:themeColor="hyperlink"/>
      <w:u w:val="single"/>
    </w:rPr>
  </w:style>
  <w:style w:type="paragraph" w:styleId="BalloonText">
    <w:name w:val="Balloon Text"/>
    <w:basedOn w:val="Normal"/>
    <w:link w:val="BalloonTextChar"/>
    <w:uiPriority w:val="99"/>
    <w:semiHidden/>
    <w:unhideWhenUsed/>
    <w:rsid w:val="0006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073"/>
    <w:rPr>
      <w:color w:val="0000FF" w:themeColor="hyperlink"/>
      <w:u w:val="single"/>
    </w:rPr>
  </w:style>
  <w:style w:type="paragraph" w:styleId="BalloonText">
    <w:name w:val="Balloon Text"/>
    <w:basedOn w:val="Normal"/>
    <w:link w:val="BalloonTextChar"/>
    <w:uiPriority w:val="99"/>
    <w:semiHidden/>
    <w:unhideWhenUsed/>
    <w:rsid w:val="0006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9810">
      <w:bodyDiv w:val="1"/>
      <w:marLeft w:val="4"/>
      <w:marRight w:val="4"/>
      <w:marTop w:val="4"/>
      <w:marBottom w:val="4"/>
      <w:divBdr>
        <w:top w:val="none" w:sz="0" w:space="0" w:color="auto"/>
        <w:left w:val="none" w:sz="0" w:space="0" w:color="auto"/>
        <w:bottom w:val="none" w:sz="0" w:space="0" w:color="auto"/>
        <w:right w:val="none" w:sz="0" w:space="0" w:color="auto"/>
      </w:divBdr>
      <w:divsChild>
        <w:div w:id="1443576491">
          <w:marLeft w:val="4"/>
          <w:marRight w:val="4"/>
          <w:marTop w:val="4"/>
          <w:marBottom w:val="4"/>
          <w:divBdr>
            <w:top w:val="none" w:sz="0" w:space="0" w:color="auto"/>
            <w:left w:val="none" w:sz="0" w:space="0" w:color="auto"/>
            <w:bottom w:val="none" w:sz="0" w:space="0" w:color="auto"/>
            <w:right w:val="none" w:sz="0" w:space="0" w:color="auto"/>
          </w:divBdr>
          <w:divsChild>
            <w:div w:id="1249386947">
              <w:marLeft w:val="4"/>
              <w:marRight w:val="4"/>
              <w:marTop w:val="4"/>
              <w:marBottom w:val="4"/>
              <w:divBdr>
                <w:top w:val="none" w:sz="0" w:space="0" w:color="auto"/>
                <w:left w:val="none" w:sz="0" w:space="0" w:color="auto"/>
                <w:bottom w:val="none" w:sz="0" w:space="0" w:color="auto"/>
                <w:right w:val="none" w:sz="0" w:space="0" w:color="auto"/>
              </w:divBdr>
              <w:divsChild>
                <w:div w:id="1008141357">
                  <w:marLeft w:val="0"/>
                  <w:marRight w:val="0"/>
                  <w:marTop w:val="0"/>
                  <w:marBottom w:val="0"/>
                  <w:divBdr>
                    <w:top w:val="none" w:sz="0" w:space="0" w:color="auto"/>
                    <w:left w:val="none" w:sz="0" w:space="0" w:color="auto"/>
                    <w:bottom w:val="none" w:sz="0" w:space="0" w:color="auto"/>
                    <w:right w:val="none" w:sz="0" w:space="0" w:color="auto"/>
                  </w:divBdr>
                  <w:divsChild>
                    <w:div w:id="1514370782">
                      <w:marLeft w:val="4"/>
                      <w:marRight w:val="4"/>
                      <w:marTop w:val="4"/>
                      <w:marBottom w:val="4"/>
                      <w:divBdr>
                        <w:top w:val="none" w:sz="0" w:space="0" w:color="auto"/>
                        <w:left w:val="none" w:sz="0" w:space="0" w:color="auto"/>
                        <w:bottom w:val="none" w:sz="0" w:space="0" w:color="auto"/>
                        <w:right w:val="none" w:sz="0" w:space="0" w:color="auto"/>
                      </w:divBdr>
                      <w:divsChild>
                        <w:div w:id="220755532">
                          <w:marLeft w:val="0"/>
                          <w:marRight w:val="0"/>
                          <w:marTop w:val="0"/>
                          <w:marBottom w:val="0"/>
                          <w:divBdr>
                            <w:top w:val="none" w:sz="0" w:space="0" w:color="auto"/>
                            <w:left w:val="none" w:sz="0" w:space="0" w:color="auto"/>
                            <w:bottom w:val="none" w:sz="0" w:space="0" w:color="auto"/>
                            <w:right w:val="none" w:sz="0" w:space="0" w:color="auto"/>
                          </w:divBdr>
                          <w:divsChild>
                            <w:div w:id="284241003">
                              <w:marLeft w:val="0"/>
                              <w:marRight w:val="0"/>
                              <w:marTop w:val="0"/>
                              <w:marBottom w:val="0"/>
                              <w:divBdr>
                                <w:top w:val="none" w:sz="0" w:space="0" w:color="auto"/>
                                <w:left w:val="none" w:sz="0" w:space="0" w:color="auto"/>
                                <w:bottom w:val="none" w:sz="0" w:space="0" w:color="auto"/>
                                <w:right w:val="none" w:sz="0" w:space="0" w:color="auto"/>
                              </w:divBdr>
                              <w:divsChild>
                                <w:div w:id="817259901">
                                  <w:marLeft w:val="0"/>
                                  <w:marRight w:val="0"/>
                                  <w:marTop w:val="0"/>
                                  <w:marBottom w:val="0"/>
                                  <w:divBdr>
                                    <w:top w:val="none" w:sz="0" w:space="0" w:color="auto"/>
                                    <w:left w:val="none" w:sz="0" w:space="0" w:color="auto"/>
                                    <w:bottom w:val="none" w:sz="0" w:space="0" w:color="auto"/>
                                    <w:right w:val="none" w:sz="0" w:space="0" w:color="auto"/>
                                  </w:divBdr>
                                  <w:divsChild>
                                    <w:div w:id="4185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nccd.cdc.gov/dnpab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Hosier, Amy F</dc:creator>
  <cp:lastModifiedBy>Tech Support</cp:lastModifiedBy>
  <cp:revision>3</cp:revision>
  <dcterms:created xsi:type="dcterms:W3CDTF">2012-08-29T14:38:00Z</dcterms:created>
  <dcterms:modified xsi:type="dcterms:W3CDTF">2014-10-03T15:28:00Z</dcterms:modified>
</cp:coreProperties>
</file>